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after="0"/>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{"Y":9}</w:instrText>
              <w:fldChar w:fldCharType="separate"/>
              <w:t xml:space="preserve">Buyruq qabul qilingan sana</w:t>
            </w:r>
            <w:r>
              <w:rPr>
                <w:b/>
                <w:vanish w:val="false"/>
                <w:color w:val="000000"/>
                <w:sz w:val="28"/>
                <w:rFonts w:ascii="Times New Roman" w:hAnsi="Times New Roman"/>
              </w:rPr>
              <w:fldChar w:fldCharType="end"/>
            </w:r>
            <w:r>
              <w:rPr>
                <w:b/>
                <w:color w:val="000000"/>
                <w:sz w:val="28"/>
              </w:rPr>
              <w:t xml:space="preserve">                            </w:t>
            </w:r>
          </w:p>
        </w:tc>
        <w:tc>
          <w:tcPr>
            <w:tcW w:w="3115" w:type="dxa"/>
          </w:tcPr>
          <w:p>
            <w:pPr>
              <w:pStyle w:val="a3"/>
              <w:jc w:val="center"/>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{"Y":10}</w:instrText>
              <w:fldChar w:fldCharType="separate"/>
              <w:t xml:space="preserve">Buyruq raqami</w:t>
            </w:r>
            <w:r>
              <w:rPr>
                <w:b/>
                <w:vanish w:val="false"/>
                <w:color w:val="000000"/>
                <w:sz w:val="28"/>
                <w:rFonts w:ascii="Times New Roman" w:hAnsi="Times New Roman"/>
              </w:rPr>
              <w:fldChar w:fldCharType="end"/>
            </w:r>
            <w:r>
              <w:rPr>
                <w:b/>
                <w:color w:val="000000"/>
                <w:sz w:val="28"/>
              </w:rPr>
              <w:t xml:space="preserve">                     </w:t>
            </w:r>
          </w:p>
        </w:tc>
        <w:tc>
          <w:tcPr>
            <w:tcW w:w="3115" w:type="dxa"/>
          </w:tcPr>
          <w:p>
            <w:pPr>
              <w:pStyle w:val="a3"/>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{"Y":11}</w:instrText>
              <w:fldChar w:fldCharType="separate"/>
              <w:t xml:space="preserve">Buyruq qabul qilingan joy</w:t>
            </w:r>
            <w:r>
              <w:rPr>
                <w:b/>
                <w:vanish w:val="false"/>
                <w:color w:val="000000"/>
                <w:sz w:val="28"/>
                <w:rFonts w:ascii="Times New Roman" w:hAnsi="Times New Roman"/>
              </w:rPr>
              <w:fldChar w:fldCharType="end"/>
            </w:r>
          </w:p>
        </w:tc>
      </w:tr>
    </w:tbl>
    <w:p>
      <w:pPr>
        <w:pStyle w:val="a3"/>
        <w:jc w:val="center"/>
        <w:spacing w:before="0" w:after="0"/>
        <w:rPr>
          <w:b/>
          <w:color w:val="000000"/>
          <w:sz w:val="28"/>
          <w:rFonts w:ascii="Times New Roman" w:hAnsi="Times New Roman"/>
        </w:rPr>
      </w:pPr>
    </w:p>
    <w:p>
      <w:pPr>
        <w:pStyle w:val="a3"/>
        <w:jc w:val="center"/>
        <w:spacing w:before="0" w:after="0"/>
      </w:pPr>
      <w:r>
        <w:rPr>
          <w:b/>
          <w:color w:val="000000"/>
          <w:sz w:val="28"/>
        </w:rPr>
        <w:t xml:space="preserve">18 yoshga toʻlmagan ishchi va xizmatchilarga mehnat </w:t>
      </w:r>
    </w:p>
    <w:p>
      <w:pPr>
        <w:pStyle w:val="a3"/>
        <w:jc w:val="center"/>
        <w:spacing w:before="0" w:after="0"/>
      </w:pPr>
      <w:r>
        <w:rPr>
          <w:b/>
          <w:color w:val="000000"/>
          <w:sz w:val="28"/>
        </w:rPr>
        <w:t xml:space="preserve">taʼtili berish toʻgʻrisida</w:t>
      </w:r>
    </w:p>
    <w:p>
      <w:pPr>
        <w:pStyle w:val="a3"/>
        <w:jc w:val="center"/>
        <w:spacing w:before="0" w:after="0"/>
        <w:rPr>
          <w:color w:val="000000"/>
          <w:rFonts w:ascii="Times New Roman" w:hAnsi="Times New Roman"/>
        </w:rPr>
      </w:pPr>
      <w:r>
        <w:rPr>
          <w:color w:val="000000"/>
        </w:rPr>
        <w:t> </w:t>
      </w:r>
    </w:p>
    <w:p>
      <w:pPr>
        <w:pStyle w:val="a3"/>
        <w:jc w:val="both"/>
        <w:ind w:firstLine="708"/>
        <w:spacing w:before="0" w:after="240"/>
        <w:rPr>
          <w:color w:val="000000"/>
          <w:sz w:val="28"/>
          <w:rFonts w:ascii="Times New Roman" w:hAnsi="Times New Roman"/>
        </w:rPr>
      </w:pPr>
      <w:r>
        <w:rPr>
          <w:color w:val="000000"/>
          <w:sz w:val="28"/>
        </w:rPr>
        <w:t xml:space="preserve">Mehnat kodeksi 218-moddasiga ko`ra quyidagi xodimlarga yoshi va sog‘lig‘ining holati hisobga olingan holda har yilgi asosiy uzaytirilgan ta’til beriladi:</w:t>
      </w:r>
    </w:p>
    <w:p>
      <w:pPr>
        <w:pStyle w:val="a3"/>
        <w:jc w:val="both"/>
        <w:ind w:firstLine="708"/>
        <w:spacing w:before="0" w:after="240"/>
        <w:rPr>
          <w:color w:val="000000"/>
          <w:sz w:val="28"/>
          <w:rFonts w:ascii="Times New Roman" w:hAnsi="Times New Roman"/>
        </w:rPr>
      </w:pPr>
      <w:r>
        <w:rPr>
          <w:color w:val="000000"/>
          <w:sz w:val="28"/>
        </w:rPr>
        <w:t xml:space="preserve">o‘n sakkiz yoshgacha bo‘lgan shaxslarga — o‘ttiz kalendar kun;</w:t>
      </w:r>
    </w:p>
    <w:p>
      <w:pPr>
        <w:pStyle w:val="a3"/>
        <w:jc w:val="both"/>
        <w:ind w:firstLine="708"/>
        <w:spacing w:before="0" w:after="240"/>
        <w:rPr>
          <w:color w:val="000000"/>
          <w:sz w:val="28"/>
          <w:rFonts w:ascii="Times New Roman" w:hAnsi="Times New Roman"/>
        </w:rPr>
      </w:pPr>
      <w:r>
        <w:rPr>
          <w:color w:val="000000"/>
          <w:sz w:val="28"/>
        </w:rPr>
        <w:t xml:space="preserve">I va II guruh nogironligi bo‘lgan xodimlarga — o‘ttiz kalendar kun.</w:t>
      </w:r>
    </w:p>
    <w:p>
      <w:pPr>
        <w:pStyle w:val="a3"/>
        <w:jc w:val="both"/>
        <w:ind w:firstLine="708"/>
        <w:spacing w:before="0" w:after="240"/>
        <w:rPr>
          <w:color w:val="000000"/>
          <w:sz w:val="28"/>
          <w:rFonts w:ascii="Times New Roman" w:hAnsi="Times New Roman"/>
        </w:rPr>
      </w:pPr>
      <w:r>
        <w:rPr>
          <w:color w:val="000000"/>
          <w:sz w:val="28"/>
        </w:rPr>
        <w:t xml:space="preserve">Har yilgi asosiy uzaytirilgan ta’tillar ayrim toifadagi xodimlar uchun ham ular mehnat vazifalarining o‘ziga xos jihatlari va xususiyatlariga hamda boshqa holatlarga qarab belgilanadi. Bunday ta’tillar olish huquqiga ega bo‘lgan xodimlarning ro‘yxati va ushbu ta’tillarning davomiyligi qonunchilikda belgilanadi.</w:t>
      </w:r>
    </w:p>
    <w:p>
      <w:pPr>
        <w:pStyle w:val="a3"/>
        <w:jc w:val="both"/>
        <w:ind w:firstLine="708"/>
        <w:spacing w:before="0" w:after="240"/>
        <w:rPr>
          <w:color w:val="000000"/>
          <w:sz w:val="28"/>
          <w:rFonts w:ascii="Times New Roman" w:hAnsi="Times New Roman"/>
        </w:rPr>
      </w:pPr>
      <w:r>
        <w:rPr>
          <w:color w:val="000000"/>
          <w:sz w:val="28"/>
        </w:rPr>
        <w:t xml:space="preserve">Qonunchilikda belgilanganidan tashqari, har yilgi asosiy uzaytirilgan ta’tillar berish, shuningdek har yilgi asosiy uzaytirilgan ta’tilning davomiyligini uning qonunchilik bilan kafolatlangan davomiyligiga nisbatan ko‘paytirish jamoa kelishuvlarida, shuningdek jamoa shartnomasida, ichki hujjatlarda, mehnat shartnomasida nazarda tutilishi mumkin.</w:t>
      </w:r>
    </w:p>
    <w:p>
      <w:pPr>
        <w:pStyle w:val="a3"/>
        <w:jc w:val="both"/>
        <w:ind w:firstLine="708"/>
        <w:spacing w:before="0" w:after="240"/>
        <w:rPr>
          <w:color w:val="000000"/>
          <w:sz w:val="28"/>
          <w:rFonts w:ascii="Times New Roman" w:hAnsi="Times New Roman"/>
        </w:rPr>
      </w:pPr>
      <w:r>
        <w:rPr>
          <w:color w:val="000000"/>
          <w:sz w:val="28"/>
        </w:rPr>
        <w:t xml:space="preserve">O‘zbekiston Respublikasi Mehnat kodeksining 217, 218,220-moddalariga muvofiq,</w:t>
      </w:r>
    </w:p>
    <w:p>
      <w:pPr>
        <w:pStyle w:val="a3"/>
        <w:jc w:val="both"/>
        <w:ind w:firstLine="708"/>
        <w:spacing w:before="0" w:after="240"/>
        <w:rPr>
          <w:b/>
          <w:color w:val="000000"/>
          <w:sz w:val="28"/>
          <w:rFonts w:ascii="Times New Roman" w:hAnsi="Times New Roman"/>
        </w:rPr>
      </w:pPr>
      <w:r>
        <w:rPr>
          <w:color w:val="000000"/>
          <w:sz w:val="28"/>
        </w:rPr>
        <w:tab/>
        <w:tab/>
        <w:tab/>
        <w:tab/>
      </w:r>
      <w:r>
        <w:rPr>
          <w:b/>
          <w:color w:val="000000"/>
          <w:sz w:val="28"/>
        </w:rPr>
        <w:t>BUYURAMAN</w:t>
      </w:r>
    </w:p>
    <w:p>
      <w:pPr>
        <w:pStyle w:val="a3"/>
        <w:jc w:val="both"/>
        <w:ind w:firstLine="708"/>
        <w:spacing w:before="0" w:after="0"/>
        <w:rPr>
          <w:color w:val="000000"/>
          <w:sz w:val="28"/>
          <w:rFonts w:ascii="Times New Roman" w:hAnsi="Times New Roman"/>
        </w:rPr>
      </w:pPr>
      <w:r>
        <w:rPr>
          <w:b/>
          <w:color w:val="000000"/>
          <w:sz w:val="28"/>
        </w:rPr>
        <w:t>1. </w:t>
      </w:r>
      <w:r>
        <w:rPr>
          <w:b/>
          <w:vanish w:val="false"/>
          <w:color w:val="000000"/>
          <w:sz w:val="28"/>
          <w:rFonts w:ascii="Times New Roman" w:hAnsi="Times New Roman"/>
        </w:rPr>
        <w:fldChar w:fldCharType="begin"/>
        <w:instrText xml:space="preserve">X {"Y":14}</w:instrText>
        <w:fldChar w:fldCharType="separate"/>
        <w:t xml:space="preserve">Xodimning familyasi,ismi,sharifi</w:t>
      </w:r>
      <w:r>
        <w:rPr>
          <w:b/>
          <w:vanish w:val="false"/>
          <w:color w:val="000000"/>
          <w:sz w:val="28"/>
          <w:rFonts w:ascii="Times New Roman" w:hAnsi="Times New Roman"/>
        </w:rPr>
        <w:fldChar w:fldCharType="end"/>
      </w:r>
      <w:r>
        <w:rPr>
          <w:b/>
          <w:color w:val="000000"/>
          <w:sz w:val="28"/>
        </w:rPr>
        <w:t xml:space="preserve"> - </w:t>
      </w:r>
      <w:r>
        <w:rPr>
          <w:b/>
          <w:vanish w:val="false"/>
          <w:color w:val="000000"/>
          <w:sz w:val="28"/>
          <w:rFonts w:ascii="Times New Roman" w:hAnsi="Times New Roman"/>
        </w:rPr>
        <w:fldChar w:fldCharType="begin"/>
        <w:instrText xml:space="preserve">X {"Y":15}</w:instrText>
        <w:fldChar w:fldCharType="separate"/>
        <w:t xml:space="preserve">Xodimning lavozimi</w:t>
      </w:r>
      <w:r>
        <w:rPr>
          <w:b/>
          <w:vanish w:val="false"/>
          <w:color w:val="000000"/>
          <w:sz w:val="28"/>
          <w:rFonts w:ascii="Times New Roman" w:hAnsi="Times New Roman"/>
        </w:rPr>
        <w:fldChar w:fldCharType="end"/>
      </w:r>
      <w:r>
        <w:rPr>
          <w:color w:val="000000"/>
          <w:sz w:val="28"/>
        </w:rPr>
        <w:t xml:space="preserve">ga </w:t>
      </w:r>
      <w:r>
        <w:rPr>
          <w:vanish w:val="false"/>
          <w:color w:val="000000"/>
          <w:sz w:val="28"/>
          <w:rFonts w:ascii="Times New Roman" w:hAnsi="Times New Roman"/>
        </w:rPr>
        <w:fldChar w:fldCharType="begin"/>
        <w:instrText xml:space="preserve">X {"Y":16}</w:instrText>
        <w:fldChar w:fldCharType="separate"/>
        <w:t xml:space="preserve">Mehnat ta’tili boshlanadigan sana</w:t>
      </w:r>
      <w:r>
        <w:rPr>
          <w:vanish w:val="false"/>
          <w:color w:val="000000"/>
          <w:sz w:val="28"/>
          <w:rFonts w:ascii="Times New Roman" w:hAnsi="Times New Roman"/>
        </w:rPr>
        <w:fldChar w:fldCharType="end"/>
      </w:r>
      <w:r>
        <w:rPr>
          <w:color w:val="000000"/>
          <w:sz w:val="28"/>
        </w:rPr>
        <w:t xml:space="preserve">dan </w:t>
      </w:r>
      <w:r>
        <w:rPr>
          <w:vanish w:val="false"/>
          <w:color w:val="000000"/>
          <w:sz w:val="28"/>
          <w:rFonts w:ascii="Times New Roman" w:hAnsi="Times New Roman"/>
        </w:rPr>
        <w:fldChar w:fldCharType="begin"/>
        <w:instrText xml:space="preserve">X {"Y":17}</w:instrText>
        <w:fldChar w:fldCharType="separate"/>
        <w:t xml:space="preserve">Mehnat ta’tili muddati (kalendar kunlarda)</w:t>
      </w:r>
      <w:r>
        <w:rPr>
          <w:vanish w:val="false"/>
          <w:color w:val="000000"/>
          <w:sz w:val="28"/>
          <w:rFonts w:ascii="Times New Roman" w:hAnsi="Times New Roman"/>
        </w:rPr>
        <w:fldChar w:fldCharType="end"/>
      </w:r>
      <w:r>
        <w:rPr>
          <w:color w:val="000000"/>
          <w:sz w:val="28"/>
        </w:rPr>
        <w:t xml:space="preserve">kalendar kun muddatga mehnat taʼtili berilsin. </w:t>
      </w:r>
    </w:p>
    <w:p>
      <w:pPr>
        <w:pStyle w:val="a3"/>
        <w:jc w:val="both"/>
        <w:ind w:firstLine="708"/>
        <w:spacing w:before="0" w:after="0"/>
      </w:pPr>
      <w:r>
        <w:rPr>
          <w:color w:val="000000"/>
          <w:sz w:val="28"/>
        </w:rPr>
        <w:t xml:space="preserve">Ishga chiqish vaqti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Xodimning ishga chiqish sanasi</w:t>
        <w:fldChar w:fldCharType="end"/>
      </w:r>
      <w:r>
        <w:rPr>
          <w:color w:val="000000"/>
          <w:sz w:val="28"/>
        </w:rPr>
        <w:t>dan.</w:t>
      </w:r>
    </w:p>
    <w:p>
      <w:pPr>
        <w:pStyle w:val="a3"/>
        <w:jc w:val="both"/>
        <w:ind w:firstLine="708"/>
        <w:spacing w:before="0" w:after="0"/>
      </w:pPr>
      <w:r>
        <w:rPr>
          <w:b/>
          <w:color w:val="000000"/>
          <w:sz w:val="28"/>
        </w:rPr>
        <w:t>2.</w:t>
      </w:r>
      <w:r>
        <w:rPr>
          <w:color w:val="000000"/>
          <w:sz w:val="28"/>
          <w:rFonts w:ascii="Calibri" w:hAnsi="Calibri"/>
        </w:rPr>
        <w:t> </w:t>
      </w:r>
      <w:r>
        <w:rPr>
          <w:color w:val="000000"/>
          <w:sz w:val="28"/>
        </w:rPr>
        <w:t xml:space="preserve">Buxgalteriya bo‘limiga: xodim </w:t>
      </w:r>
      <w:r>
        <w:rPr>
          <w:b/>
          <w:vanish w:val="false"/>
          <w:color w:val="000000"/>
          <w:sz w:val="28"/>
          <w:rFonts w:ascii="Times New Roman" w:hAnsi="Times New Roman"/>
        </w:rPr>
        <w:fldChar w:fldCharType="begin"/>
        <w:instrText xml:space="preserve">X {"Y":14}</w:instrText>
        <w:fldChar w:fldCharType="separate"/>
        <w:t xml:space="preserve">Xodimning familyasi,ismi,sharifi</w:t>
      </w:r>
      <w:r>
        <w:rPr>
          <w:b/>
          <w:vanish w:val="false"/>
          <w:color w:val="000000"/>
          <w:sz w:val="28"/>
          <w:rFonts w:ascii="Times New Roman" w:hAnsi="Times New Roman"/>
        </w:rPr>
        <w:fldChar w:fldCharType="end"/>
      </w:r>
      <w:r>
        <w:rPr>
          <w:color w:val="000000"/>
          <w:sz w:val="28"/>
        </w:rPr>
        <w:t xml:space="preserve">ga tegishli toʻlovlar amaldagi qonunchilik hujjatlarida belgilangan tartibda amalga oshirilsin.</w:t>
      </w:r>
    </w:p>
    <w:p>
      <w:pPr>
        <w:pStyle w:val="a3"/>
        <w:ind w:firstLine="708"/>
        <w:spacing w:before="0" w:after="0"/>
        <w:rPr>
          <w:color w:val="000000"/>
          <w:rFonts w:ascii="Times New Roman" w:hAnsi="Times New Roman"/>
        </w:rPr>
      </w:pPr>
      <w:r>
        <w:rPr>
          <w:color w:val="000000"/>
        </w:rPr>
        <w:t> </w:t>
      </w:r>
    </w:p>
    <w:p>
      <w:pPr>
        <w:pStyle w:val="a3"/>
        <w:jc w:val="both"/>
        <w:ind w:firstLine="708"/>
        <w:spacing w:before="0" w:after="0"/>
        <w:rPr>
          <w:color w:val="000000"/>
          <w:rFonts w:ascii="Times New Roman" w:hAnsi="Times New Roman"/>
        </w:rPr>
      </w:pPr>
      <w:r>
        <w:rPr>
          <w:b/>
          <w:color w:val="000000"/>
        </w:rPr>
        <w:t xml:space="preserve">Asos: </w:t>
      </w:r>
      <w:r>
        <w:rPr>
          <w:color w:val="000000"/>
          <w:sz w:val="22"/>
        </w:rPr>
        <w:t xml:space="preserve">O‘zbekiston Respublikasi Mehnat kodeksi</w:t>
      </w:r>
      <w:r>
        <w:rPr>
          <w:color w:val="000000"/>
        </w:rPr>
        <w:t xml:space="preserve">ning 217, 218-moddalari, </w:t>
      </w:r>
      <w:r>
        <w:rPr>
          <w:b/>
          <w:vanish w:val="false"/>
          <w:color w:val="000000"/>
          <w:rFonts w:ascii="Times New Roman" w:hAnsi="Times New Roman"/>
        </w:rPr>
        <w:fldChar w:fldCharType="begin"/>
        <w:instrText xml:space="preserve">X {"Y":14}</w:instrText>
        <w:fldChar w:fldCharType="separate"/>
        <w:t xml:space="preserve">Xodimning familyasi,ismi,sharifi</w:t>
      </w:r>
      <w:r>
        <w:rPr>
          <w:b/>
          <w:vanish w:val="false"/>
          <w:color w:val="000000"/>
          <w:rFonts w:ascii="Times New Roman" w:hAnsi="Times New Roman"/>
        </w:rPr>
        <w:fldChar w:fldCharType="end"/>
      </w:r>
      <w:r>
        <w:rPr>
          <w:color w:val="000000"/>
        </w:rPr>
        <w:t xml:space="preserve">ning arizasi, taʼtillar jadvali.</w:t>
      </w:r>
    </w:p>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65C"/>
    <w:rsid w:val="002A547D"/>
    <w:rsid w:val="00346C25"/>
    <w:rsid w:val="004363C6"/>
    <w:rsid w:val="00511F63"/>
    <w:rsid w:val="00633BF7"/>
    <w:rsid w:val="0063765C"/>
    <w:rsid w:val="0066086F"/>
    <w:rsid w:val="007311BE"/>
    <w:rsid w:val="00752E69"/>
    <w:rsid w:val="00816D85"/>
    <w:rsid w:val="0090638A"/>
    <w:rsid w:val="00963DA6"/>
    <w:rsid w:val="00B972D4"/>
    <w:rsid w:val="00D10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ABCD"/>
  <w15:chartTrackingRefBased/>
  <w15:docId w15:val="{C6633227-D7FC-46B1-8DC0-0C1E14B1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363C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963DA6"/>
    <w:pPr>
      <w:spacing w:after="0" w:line="240" w:lineRule="auto"/>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731870">
      <w:bodyDiv w:val="1"/>
      <w:marLeft w:val="0"/>
      <w:marRight w:val="0"/>
      <w:marTop w:val="0"/>
      <w:marBottom w:val="0"/>
      <w:divBdr>
        <w:top w:val="none" w:sz="0" w:space="0" w:color="auto"/>
        <w:left w:val="none" w:sz="0" w:space="0" w:color="auto"/>
        <w:bottom w:val="none" w:sz="0" w:space="0" w:color="auto"/>
        <w:right w:val="none" w:sz="0" w:space="0" w:color="auto"/>
      </w:divBdr>
    </w:div>
    <w:div w:id="1524440807">
      <w:bodyDiv w:val="1"/>
      <w:marLeft w:val="0"/>
      <w:marRight w:val="0"/>
      <w:marTop w:val="0"/>
      <w:marBottom w:val="0"/>
      <w:divBdr>
        <w:top w:val="none" w:sz="0" w:space="0" w:color="auto"/>
        <w:left w:val="none" w:sz="0" w:space="0" w:color="auto"/>
        <w:bottom w:val="none" w:sz="0" w:space="0" w:color="auto"/>
        <w:right w:val="none" w:sz="0" w:space="0" w:color="auto"/>
      </w:divBdr>
      <w:divsChild>
        <w:div w:id="960501364">
          <w:marLeft w:val="0"/>
          <w:marRight w:val="0"/>
          <w:marTop w:val="120"/>
          <w:marBottom w:val="120"/>
          <w:divBdr>
            <w:top w:val="none" w:sz="0" w:space="0" w:color="auto"/>
            <w:left w:val="none" w:sz="0" w:space="0" w:color="auto"/>
            <w:bottom w:val="none" w:sz="0" w:space="0" w:color="auto"/>
            <w:right w:val="none" w:sz="0" w:space="0" w:color="auto"/>
          </w:divBdr>
        </w:div>
        <w:div w:id="1611745575">
          <w:marLeft w:val="0"/>
          <w:marRight w:val="0"/>
          <w:marTop w:val="0"/>
          <w:marBottom w:val="150"/>
          <w:divBdr>
            <w:top w:val="none" w:sz="0" w:space="0" w:color="auto"/>
            <w:left w:val="none" w:sz="0" w:space="0" w:color="auto"/>
            <w:bottom w:val="none" w:sz="0" w:space="0" w:color="auto"/>
            <w:right w:val="none" w:sz="0" w:space="0" w:color="auto"/>
          </w:divBdr>
        </w:div>
        <w:div w:id="164396695">
          <w:marLeft w:val="0"/>
          <w:marRight w:val="0"/>
          <w:marTop w:val="0"/>
          <w:marBottom w:val="150"/>
          <w:divBdr>
            <w:top w:val="none" w:sz="0" w:space="0" w:color="auto"/>
            <w:left w:val="none" w:sz="0" w:space="0" w:color="auto"/>
            <w:bottom w:val="none" w:sz="0" w:space="0" w:color="auto"/>
            <w:right w:val="none" w:sz="0" w:space="0" w:color="auto"/>
          </w:divBdr>
        </w:div>
        <w:div w:id="240916880">
          <w:marLeft w:val="0"/>
          <w:marRight w:val="0"/>
          <w:marTop w:val="0"/>
          <w:marBottom w:val="150"/>
          <w:divBdr>
            <w:top w:val="none" w:sz="0" w:space="0" w:color="auto"/>
            <w:left w:val="none" w:sz="0" w:space="0" w:color="auto"/>
            <w:bottom w:val="none" w:sz="0" w:space="0" w:color="auto"/>
            <w:right w:val="none" w:sz="0" w:space="0" w:color="auto"/>
          </w:divBdr>
        </w:div>
        <w:div w:id="980429314">
          <w:marLeft w:val="0"/>
          <w:marRight w:val="0"/>
          <w:marTop w:val="0"/>
          <w:marBottom w:val="150"/>
          <w:divBdr>
            <w:top w:val="none" w:sz="0" w:space="0" w:color="auto"/>
            <w:left w:val="none" w:sz="0" w:space="0" w:color="auto"/>
            <w:bottom w:val="none" w:sz="0" w:space="0" w:color="auto"/>
            <w:right w:val="none" w:sz="0" w:space="0" w:color="auto"/>
          </w:divBdr>
        </w:div>
        <w:div w:id="791172586">
          <w:marLeft w:val="0"/>
          <w:marRight w:val="0"/>
          <w:marTop w:val="0"/>
          <w:marBottom w:val="150"/>
          <w:divBdr>
            <w:top w:val="none" w:sz="0" w:space="0" w:color="auto"/>
            <w:left w:val="none" w:sz="0" w:space="0" w:color="auto"/>
            <w:bottom w:val="none" w:sz="0" w:space="0" w:color="auto"/>
            <w:right w:val="none" w:sz="0" w:space="0" w:color="auto"/>
          </w:divBdr>
        </w:div>
        <w:div w:id="17577847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38</cp:revision>
  <dcterms:created xsi:type="dcterms:W3CDTF">2024-11-22T05:59:00Z</dcterms:created>
  <dcterms:modified xsi:type="dcterms:W3CDTF">2024-12-02T12:06:00Z</dcterms:modified>
</cp:coreProperties>
</file>

<file path=legal/structure.xml><?xml version="1.0" encoding="utf-8"?>
<w:structure xmlns:w="http://schemas.openxmlformats.org/wordprocessingml/2006/main">
  <w:element w:id="8" w:kind="category" w:selector="check" w:type="string" w:valueMode="normal" w:required="false" w:groupID="8">
    <w:identifier xml:space="preserve">ID8</w:identifier>
    <w:name xml:space="preserve">Buyruq rekvizitlari:</w:name>
    <w:value w:hidden="true">
      <w:unit w:active="false"/>
    </w:value>
  </w:element>
  <w:element w:id="9" w:kind="variable" w:selector="check" w:type="string" w:valueMode="normal" w:required="false" w:groupID="8">
    <w:identifier xml:space="preserve">ID9</w:identifier>
    <w:name xml:space="preserve">Buyruq qabul qilingan sana</w:name>
    <w:value w:hidden="false">
      <w:unit w:active="false"/>
    </w:value>
  </w:element>
  <w:element w:id="10" w:kind="variable" w:selector="check" w:type="string" w:valueMode="normal" w:required="false" w:groupID="8">
    <w:identifier xml:space="preserve">ID10</w:identifier>
    <w:name xml:space="preserve">Buyruq raqami</w:name>
    <w:value w:hidden="false">
      <w:unit w:active="false"/>
    </w:value>
  </w:element>
  <w:element w:id="11" w:kind="variable" w:selector="check" w:type="string" w:valueMode="normal" w:required="false" w:groupID="8">
    <w:identifier xml:space="preserve">ID11</w:identifier>
    <w:name xml:space="preserve">Buyruq qabul qilingan joy</w:name>
    <w:value w:hidden="false">
      <w:unit w:active="false"/>
    </w:value>
  </w:element>
  <w:element w:id="13" w:kind="category" w:selector="check" w:type="string" w:valueMode="normal" w:required="false" w:groupID="13">
    <w:identifier xml:space="preserve">ID13</w:identifier>
    <w:name xml:space="preserve">Taraflar:</w:name>
    <w:value w:hidden="true">
      <w:unit w:active="false"/>
    </w:value>
  </w:element>
  <w:element w:id="14" w:kind="variable" w:selector="check" w:type="string" w:valueMode="normal" w:required="false" w:groupID="13">
    <w:identifier xml:space="preserve">ID14</w:identifier>
    <w:name xml:space="preserve">Xodimning familyasi,ismi,sharifi</w:name>
    <w:value w:hidden="false">
      <w:unit w:active="false"/>
    </w:value>
  </w:element>
  <w:element w:id="15" w:kind="variable" w:selector="check" w:type="string" w:valueMode="normal" w:required="false" w:groupID="13">
    <w:identifier xml:space="preserve">ID15</w:identifier>
    <w:name xml:space="preserve">Xodimning lavozimi</w:name>
    <w:value w:hidden="false">
      <w:unit w:active="false"/>
    </w:value>
  </w:element>
  <w:element w:id="16" w:kind="variable" w:selector="check" w:type="string" w:valueMode="normal" w:required="false" w:groupID="13">
    <w:identifier xml:space="preserve">ID16</w:identifier>
    <w:name xml:space="preserve">Mehnat ta’tili boshlanadigan sana</w:name>
    <w:value w:hidden="false">
      <w:unit w:active="false"/>
    </w:value>
  </w:element>
  <w:element w:id="17" w:kind="variable" w:selector="check" w:type="string" w:valueMode="normal" w:required="false" w:groupID="13">
    <w:identifier xml:space="preserve">ID17</w:identifier>
    <w:name xml:space="preserve">Mehnat ta’tili muddati (kalendar kunlarda)</w:name>
    <w:value w:hidden="false">
      <w:unit w:active="false"/>
    </w:value>
  </w:element>
  <w:element w:id="18" w:kind="variable" w:selector="check" w:type="string" w:valueMode="normal" w:required="false" w:groupID="13">
    <w:identifier xml:space="preserve">ID18</w:identifier>
    <w:name xml:space="preserve">Xodimning ishga chiqish sanasi</w:name>
    <w:value w:hidden="false">
      <w:unit w:active="false"/>
    </w:value>
  </w:element>
</w:structure>
</file>