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yurxizmat.uz/officeDocument/2006/relationships/document-dataSources" Target="legal/dataSources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</w:tblPr>
      <w:tblGrid>
        <w:gridCol w:w="4568"/>
        <w:gridCol w:w="4787"/>
      </w:tblGrid>
      <w:tr>
        <w:tc>
          <w:tcPr>
            <w:tcW w:w="4691" w:type="dxa"/>
            <w:shd w:fill="auto"/>
          </w:tcPr>
          <w:p>
            <w:pPr>
              <w:spacing w:after="0"/>
              <w:rPr>
                <w:sz w:val="24"/>
                <w:rFonts w:ascii="Times New Roman" w:hAnsi="Times New Roman"/>
              </w:rPr>
            </w:pPr>
          </w:p>
        </w:tc>
        <w:tc>
          <w:tcPr>
            <w:tcW w:w="4880" w:type="dxa"/>
            <w:shd w:fill="auto"/>
          </w:tcPr>
          <w:p>
            <w:pPr>
              <w:jc w:val="both"/>
              <w:spacing w:after="0"/>
              <w:rPr>
                <w:sz w:val="24"/>
                <w:rFonts w:ascii="Times New Roman" w:hAnsi="Times New Roman"/>
              </w:rPr>
            </w:pPr>
            <w:r>
              <w:rPr>
                <w:b/>
                <w:sz w:val="24"/>
                <w:rFonts w:ascii="Times New Roman" w:hAnsi="Times New Roman"/>
              </w:rPr>
              <w:t xml:space="preserve">Iqtisodiy ishlar boʻyicha </w:t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{"Y":2}</w:instrText>
              <w:fldChar w:fldCharType="separate"/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t xml:space="preserve">Iltimosnoma berilgan iqtisodiy sud nomi</w:t>
              <w:fldChar w:fldCharType="end"/>
            </w:r>
            <w:r>
              <w:rPr>
                <w:b/>
                <w:sz w:val="24"/>
                <w:rFonts w:ascii="Times New Roman" w:hAnsi="Times New Roman"/>
              </w:rPr>
              <w:t>ga</w:t>
            </w:r>
          </w:p>
        </w:tc>
      </w:tr>
      <w:tr>
        <w:tc>
          <w:tcPr>
            <w:tcW w:w="4691" w:type="dxa"/>
            <w:shd w:fill="auto"/>
          </w:tcPr>
          <w:p>
            <w:pPr>
              <w:spacing w:after="0"/>
              <w:rPr>
                <w:sz w:val="24"/>
                <w:rFonts w:ascii="Times New Roman" w:hAnsi="Times New Roman"/>
              </w:rPr>
            </w:pPr>
          </w:p>
        </w:tc>
        <w:tc>
          <w:tcPr>
            <w:tcW w:w="4880" w:type="dxa"/>
            <w:shd w:fill="auto"/>
          </w:tcPr>
          <w:p>
            <w:pPr>
              <w:jc w:val="both"/>
              <w:spacing w:after="0"/>
              <w:rPr>
                <w:sz w:val="24"/>
                <w:rFonts w:ascii="Times New Roman" w:hAnsi="Times New Roman"/>
              </w:rPr>
            </w:pPr>
            <w:r>
              <w:rPr>
                <w:b/>
                <w:sz w:val="24"/>
                <w:rFonts w:ascii="Times New Roman" w:hAnsi="Times New Roman"/>
              </w:rPr>
              <w:t xml:space="preserve">Manzil: 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{"Y":5}</w:instrText>
              <w:fldChar w:fldCharType="separate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Iltimosnoma beruvchining manzili</w:t>
              <w:fldChar w:fldCharType="end"/>
            </w:r>
          </w:p>
        </w:tc>
      </w:tr>
      <w:tr>
        <w:tc>
          <w:tcPr>
            <w:tcW w:w="4691" w:type="dxa"/>
            <w:shd w:fill="auto"/>
          </w:tcPr>
          <w:p>
            <w:pPr>
              <w:spacing w:after="0"/>
              <w:rPr>
                <w:sz w:val="24"/>
                <w:rFonts w:ascii="Times New Roman" w:hAnsi="Times New Roman"/>
              </w:rPr>
            </w:pPr>
          </w:p>
        </w:tc>
        <w:tc>
          <w:tcPr>
            <w:tcW w:w="4880" w:type="dxa"/>
            <w:shd w:fill="auto"/>
          </w:tcPr>
          <w:p>
            <w:pPr>
              <w:jc w:val="both"/>
              <w:spacing w:after="0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{"Y":6}</w:instrText>
              <w:fldChar w:fldCharType="separate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Iltimosnoma beruvchi yuridik shaxs nomi yoki yakka tartibdagi tadbirkor (YATT)ning F.I.Osi</w:t>
              <w:fldChar w:fldCharType="end"/>
            </w:r>
            <w:r>
              <w:rPr>
                <w:sz w:val="24"/>
                <w:rFonts w:ascii="Times New Roman" w:hAnsi="Times New Roman"/>
              </w:rPr>
              <w:t>dan</w:t>
            </w:r>
          </w:p>
        </w:tc>
      </w:tr>
    </w:tbl>
    <w:p>
      <w:pPr>
        <w:spacing w:after="0"/>
        <w:rPr>
          <w:sz w:val="24"/>
          <w:rFonts w:ascii="Times New Roman" w:hAnsi="Times New Roman"/>
        </w:rPr>
      </w:pPr>
    </w:p>
    <w:p>
      <w:pPr>
        <w:pStyle w:val="a0"/>
        <w:jc w:val="center"/>
        <w:spacing w:before="40" w:after="0" w:line="240" w:lineRule="auto"/>
        <w:rPr>
          <w:b/>
          <w:sz w:val="24"/>
          <w:rFonts w:ascii="Times New Roman" w:hAnsi="Times New Roman"/>
        </w:rPr>
      </w:pPr>
    </w:p>
    <w:p>
      <w:pPr>
        <w:pStyle w:val="a0"/>
        <w:jc w:val="center"/>
        <w:spacing w:before="40" w:after="0" w:line="240" w:lineRule="auto"/>
        <w:rPr>
          <w:b/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>ILTIMOSNOMA</w:t>
      </w:r>
    </w:p>
    <w:p>
      <w:pPr>
        <w:jc w:val="center"/>
        <w:spacing w:after="0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Sudning xal qiluv qarori ustidan apellyatsiya shikoyati berish muddatini</w:t>
        <w:br/>
        <w:t xml:space="preserve"> tiklash toʻgʻrisida</w:t>
      </w:r>
    </w:p>
    <w:p>
      <w:pPr>
        <w:pStyle w:val="a0"/>
        <w:jc w:val="both"/>
        <w:ind w:firstLine="900"/>
        <w:spacing w:before="40" w:after="0" w:line="240" w:lineRule="auto"/>
        <w:rPr>
          <w:sz w:val="24"/>
          <w:rFonts w:ascii="Times New Roman" w:hAnsi="Times New Roman"/>
        </w:rPr>
      </w:pPr>
    </w:p>
    <w:p>
      <w:pPr>
        <w:pStyle w:val="a0"/>
        <w:jc w:val="both"/>
        <w:ind w:firstLine="900"/>
        <w:spacing w:before="40" w:after="0" w:line="240" w:lineRule="auto"/>
        <w:rPr>
          <w:color w:val="000000"/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Iqtisodiy ishlar boʻyicha 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Iltimosnoma berilgan iqtisodiy sud nomi</w:t>
        <w:fldChar w:fldCharType="end"/>
      </w:r>
      <w:r>
        <w:rPr>
          <w:sz w:val="24"/>
          <w:rFonts w:ascii="Times New Roman" w:hAnsi="Times New Roman"/>
        </w:rPr>
        <w:t xml:space="preserve"> sudining ish yurituvida daʼvogar 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{"Y":9}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Ish bo‘yicha daʼvogar</w:t>
        <w:fldChar w:fldCharType="end"/>
      </w:r>
      <w:r>
        <w:rPr>
          <w:sz w:val="24"/>
          <w:rFonts w:ascii="Times New Roman" w:hAnsi="Times New Roman"/>
        </w:rPr>
        <w:t xml:space="preserve">ning javobgar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{"Y":10}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Ish bo‘yicha javobgar</w:t>
        <w:fldChar w:fldCharType="end"/>
      </w:r>
      <w:r>
        <w:rPr>
          <w:sz w:val="24"/>
          <w:rFonts w:ascii="Times New Roman" w:hAnsi="Times New Roman"/>
        </w:rPr>
        <w:t xml:space="preserve">ga nisbatan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{"Y":11}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Daʼvo ariza mazmuni</w:t>
        <w:fldChar w:fldCharType="end"/>
      </w:r>
      <w:r>
        <w:rPr>
          <w:sz w:val="24"/>
          <w:rFonts w:ascii="Times New Roman" w:hAnsi="Times New Roman"/>
        </w:rPr>
        <w:t xml:space="preserve"> toʻgʻrisidagi daʼvo arizasi yuzasidan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{"Y":12}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Ish bo‘yicha hal qiluv qarori qabul qilingan sana</w:t>
        <w:fldChar w:fldCharType="end"/>
      </w:r>
      <w:r>
        <w:rPr>
          <w:color w:val="000000"/>
          <w:sz w:val="24"/>
          <w:rFonts w:ascii="Times New Roman" w:hAnsi="Times New Roman"/>
        </w:rPr>
        <w:t xml:space="preserve"> kuni chiqarilgan xal qiluv qarori ustidan </w:t>
        <w:br/>
      </w:r>
      <w:r>
        <w:rPr>
          <w:vanish w:val="false"/>
          <w:color w:val="000000"/>
          <w:sz w:val="24"/>
          <w:rFonts w:ascii="Times New Roman" w:hAnsi="Times New Roman"/>
        </w:rPr>
        <w:fldChar w:fldCharType="begin"/>
        <w:instrText xml:space="preserve">X {"Y":13}</w:instrText>
        <w:fldChar w:fldCharType="separate"/>
      </w:r>
      <w:r>
        <w:rPr>
          <w:vanish w:val="false"/>
          <w:color w:val="000000"/>
          <w:sz w:val="24"/>
          <w:rFonts w:ascii="Times New Roman" w:hAnsi="Times New Roman"/>
        </w:rPr>
        <w:t xml:space="preserve">Hal qiluv qarori ustidan shikoyat keltirish uchun belgilangan muddat o‘tkazib yuborilishi uchun sabab bo‘lgan uzrli holatlar</w:t>
        <w:fldChar w:fldCharType="end"/>
      </w:r>
      <w:r>
        <w:rPr>
          <w:color w:val="000000"/>
          <w:sz w:val="24"/>
          <w:rFonts w:ascii="Times New Roman" w:hAnsi="Times New Roman"/>
        </w:rPr>
        <w:t xml:space="preserve"> sababli apellyatsiya shikoyati bera olmadim.</w:t>
      </w:r>
    </w:p>
    <w:p>
      <w:pPr>
        <w:jc w:val="both"/>
        <w:ind w:firstLine="709"/>
        <w:spacing w:after="0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Mening ushbu sabablarimning uzrli ekanligini </w:t>
      </w:r>
      <w:r>
        <w:rPr>
          <w:vanish w:val="false"/>
          <w:color w:val="000000"/>
          <w:sz w:val="24"/>
          <w:rFonts w:ascii="Times New Roman" w:hAnsi="Times New Roman"/>
        </w:rPr>
        <w:fldChar w:fldCharType="begin"/>
        <w:instrText xml:space="preserve">X {"Y":14}</w:instrText>
        <w:fldChar w:fldCharType="separate"/>
      </w:r>
      <w:r>
        <w:rPr>
          <w:vanish w:val="false"/>
          <w:color w:val="000000"/>
          <w:sz w:val="24"/>
          <w:rFonts w:ascii="Times New Roman" w:hAnsi="Times New Roman"/>
        </w:rPr>
        <w:t xml:space="preserve">Shikoyat keltirish muddati uzrli sabab bilan o‘tkazib yuborilganligini isbotlovchi hujjatlar nomi</w:t>
        <w:fldChar w:fldCharType="end"/>
      </w:r>
      <w:r>
        <w:rPr>
          <w:color w:val="000000"/>
          <w:sz w:val="24"/>
          <w:rFonts w:ascii="Times New Roman" w:hAnsi="Times New Roman"/>
        </w:rPr>
        <w:t xml:space="preserve"> kabi dalillar tasdiqlaydi.</w:t>
      </w:r>
    </w:p>
    <w:p>
      <w:pPr>
        <w:jc w:val="both"/>
        <w:ind w:firstLine="709"/>
        <w:spacing w:after="0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Yuqoridagilardan kelib chiqib, Oʻzbekiston Respublikasi Iqtisodiy protsessual kodeksining 123, 124-moddalariga asoslanib,</w:t>
      </w:r>
    </w:p>
    <w:p>
      <w:pPr>
        <w:jc w:val="both"/>
        <w:ind w:firstLine="709"/>
        <w:spacing w:after="0"/>
        <w:rPr>
          <w:color w:val="000000"/>
          <w:sz w:val="24"/>
          <w:rFonts w:ascii="Times New Roman" w:hAnsi="Times New Roman"/>
        </w:rPr>
      </w:pPr>
    </w:p>
    <w:p>
      <w:pPr>
        <w:jc w:val="center"/>
        <w:spacing w:after="0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>SOʻRAYMAN:</w:t>
      </w:r>
    </w:p>
    <w:p>
      <w:pPr>
        <w:jc w:val="center"/>
        <w:spacing w:after="0"/>
        <w:rPr>
          <w:color w:val="000000"/>
          <w:sz w:val="24"/>
          <w:rFonts w:ascii="Times New Roman" w:hAnsi="Times New Roman"/>
        </w:rPr>
      </w:pPr>
    </w:p>
    <w:p>
      <w:pPr>
        <w:jc w:val="both"/>
        <w:ind w:firstLine="708"/>
        <w:spacing w:after="0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Sudning xal qiluv qarori ustidan apellyatsiya shikoyati berish muddatini tiklashingizni.</w:t>
      </w:r>
    </w:p>
    <w:p>
      <w:pPr>
        <w:pStyle w:val="a0"/>
        <w:jc w:val="both"/>
        <w:spacing w:before="40" w:after="0" w:line="240" w:lineRule="auto"/>
        <w:rPr>
          <w:sz w:val="24"/>
          <w:rFonts w:ascii="Times New Roman" w:hAnsi="Times New Roman"/>
        </w:rPr>
      </w:pPr>
    </w:p>
    <w:p>
      <w:pPr>
        <w:pStyle w:val="a0"/>
        <w:jc w:val="both"/>
        <w:ind w:firstLine="900"/>
        <w:spacing w:before="40" w:after="0" w:line="240" w:lineRule="auto"/>
        <w:rPr>
          <w:b/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 xml:space="preserve">Iltimosnomaga ilova qilinayotgan hujjatlar:</w:t>
      </w:r>
    </w:p>
    <w:p>
      <w:pPr>
        <w:pStyle w:val="a0"/>
        <w:numPr>
          <w:numId w:val="5"/>
          <w:ilvl w:val="0"/>
        </w:numPr>
        <w:jc w:val="both"/>
        <w:spacing w:before="40" w:after="0" w:line="240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Iltimosnoma nusxasi.  </w:t>
      </w:r>
    </w:p>
    <w:p>
      <w:pPr>
        <w:numPr>
          <w:numId w:val="5"/>
          <w:ilvl w:val="0"/>
        </w:numPr>
        <w:jc w:val="both"/>
        <w:spacing w:after="0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Apellyatsiya shikoyati berish muddatini oʻtkazib yuborganlik sabablarini tasdiqlovchi hujjatlar.</w:t>
      </w:r>
    </w:p>
    <w:p>
      <w:pPr>
        <w:pStyle w:val="a0"/>
        <w:jc w:val="both"/>
        <w:spacing w:before="40" w:after="0" w:line="240" w:lineRule="auto"/>
        <w:rPr>
          <w:sz w:val="24"/>
          <w:rFonts w:ascii="Times New Roman" w:hAnsi="Times New Roman"/>
        </w:rPr>
      </w:pPr>
    </w:p>
    <w:p>
      <w:pPr>
        <w:pStyle w:val="a0"/>
        <w:jc w:val="both"/>
        <w:spacing w:before="40" w:after="0" w:line="240" w:lineRule="auto"/>
        <w:rPr>
          <w:sz w:val="24"/>
          <w:rFonts w:ascii="Times New Roman" w:hAnsi="Times New Roman"/>
        </w:rPr>
      </w:pPr>
    </w:p>
    <w:p>
      <w:pPr>
        <w:pStyle w:val="a0"/>
        <w:jc w:val="both"/>
        <w:spacing w:before="40" w:after="0" w:line="240" w:lineRule="auto"/>
        <w:rPr>
          <w:sz w:val="24"/>
          <w:rFonts w:ascii="Times New Roman" w:hAnsi="Times New Roman"/>
        </w:rPr>
      </w:pPr>
    </w:p>
    <w:p>
      <w:pPr>
        <w:pStyle w:val="a0"/>
        <w:jc w:val="both"/>
        <w:spacing w:before="40" w:after="0" w:line="240" w:lineRule="auto"/>
        <w:rPr>
          <w:sz w:val="24"/>
          <w:rFonts w:ascii="Times New Roman" w:hAnsi="Times New Roman"/>
        </w:rPr>
      </w:pPr>
    </w:p>
    <w:tbl>
      <w:tblPr>
        <w:tblW w:w="0" w:type="auto"/>
      </w:tblPr>
      <w:tblGrid>
        <w:gridCol w:w="3127"/>
        <w:gridCol w:w="3100"/>
        <w:gridCol w:w="3128"/>
      </w:tblGrid>
      <w:tr>
        <w:tc>
          <w:tcPr>
            <w:tcW w:w="3190" w:type="dxa"/>
            <w:shd w:fill="auto"/>
          </w:tcPr>
          <w:p>
            <w:pPr>
              <w:pStyle w:val="a0"/>
              <w:jc w:val="both"/>
              <w:spacing w:before="40" w:after="0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{"Y":7}</w:instrText>
              <w:fldChar w:fldCharType="separate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Iltimosnoma beruvchi yuridik shaxs rahbarining yoki yakka tartibdagi tadbirkor (YATT)ning F.I.Osi</w:t>
              <w:fldChar w:fldCharType="end"/>
            </w:r>
          </w:p>
          <w:p>
            <w:pPr>
              <w:pStyle w:val="a0"/>
              <w:jc w:val="both"/>
              <w:spacing w:before="40" w:after="0"/>
              <w:rPr>
                <w:sz w:val="24"/>
                <w:rFonts w:ascii="Times New Roman" w:hAnsi="Times New Roman"/>
              </w:rPr>
            </w:pPr>
          </w:p>
        </w:tc>
        <w:tc>
          <w:tcPr>
            <w:tcW w:w="3190" w:type="dxa"/>
            <w:shd w:fill="auto"/>
          </w:tcPr>
          <w:p>
            <w:pPr>
              <w:pStyle w:val="a0"/>
              <w:spacing w:before="40" w:after="0"/>
              <w:pBdr>
                <w:bottom w:sz="12" w:space="1" w:color="auto" w:val="single"/>
              </w:pBdr>
              <w:rPr>
                <w:sz w:val="24"/>
                <w:rFonts w:ascii="Times New Roman" w:hAnsi="Times New Roman"/>
              </w:rPr>
            </w:pPr>
          </w:p>
          <w:p>
            <w:pPr>
              <w:pStyle w:val="a0"/>
              <w:jc w:val="center"/>
              <w:spacing w:before="40" w:after="0"/>
              <w:rPr>
                <w:sz w:val="24"/>
                <w:rFonts w:ascii="Times New Roman" w:hAnsi="Times New Roman"/>
              </w:rPr>
            </w:pPr>
            <w:r>
              <w:rPr>
                <w:sz w:val="24"/>
                <w:rFonts w:ascii="Times New Roman" w:hAnsi="Times New Roman"/>
              </w:rPr>
              <w:t>imzo</w:t>
            </w:r>
          </w:p>
        </w:tc>
        <w:tc>
          <w:tcPr>
            <w:tcW w:w="3191" w:type="dxa"/>
            <w:shd w:fill="auto"/>
          </w:tcPr>
          <w:p>
            <w:pPr>
              <w:pStyle w:val="a0"/>
              <w:jc w:val="right"/>
              <w:spacing w:before="40" w:after="0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{"Y":3}</w:instrText>
              <w:fldChar w:fldCharType="separate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Iltimosnoma berilgan sana</w:t>
              <w:fldChar w:fldCharType="end"/>
            </w:r>
            <w:r>
              <w:rPr>
                <w:sz w:val="24"/>
                <w:rFonts w:ascii="Times New Roman" w:hAnsi="Times New Roman"/>
              </w:rPr>
              <w:t xml:space="preserve"> </w:t>
            </w:r>
          </w:p>
        </w:tc>
      </w:tr>
    </w:tbl>
    <w:p>
      <w:pPr>
        <w:pStyle w:val="a0"/>
        <w:jc w:val="both"/>
        <w:spacing w:before="40" w:after="0" w:line="240" w:lineRule="auto"/>
        <w:rPr>
          <w:sz w:val="24"/>
          <w:rFonts w:ascii="Times New Roman" w:hAnsi="Times New Roman"/>
        </w:rPr>
      </w:pPr>
    </w:p>
    <w:p>
      <w:pPr>
        <w:rPr>
          <w:sz w:val="24"/>
          <w:rFonts w:ascii="Times New Roman" w:hAnsi="Times New Roman"/>
        </w:rPr>
      </w:pPr>
    </w:p>
    <w:p>
      <w:pPr>
        <w:rPr>
          <w:sz w:val="24"/>
          <w:rFonts w:ascii="Times New Roman" w:hAnsi="Times New Roman"/>
        </w:rPr>
      </w:pPr>
    </w:p>
    <w:p>
      <w:pPr>
        <w:rPr>
          <w:sz w:val="24"/>
          <w:rFonts w:ascii="Times New Roman" w:hAnsi="Times New Roman"/>
        </w:rPr>
      </w:pPr>
    </w:p>
    <w:p>
      <w:pPr>
        <w:rPr>
          <w:sz w:val="24"/>
          <w:rFonts w:ascii="Times New Roman" w:hAnsi="Times New Roman"/>
        </w:rPr>
      </w:pPr>
    </w:p>
    <w:p>
      <w:pPr>
        <w:rPr>
          <w:sz w:val="24"/>
          <w:rFonts w:ascii="Times New Roman" w:hAnsi="Times New Roman"/>
        </w:rPr>
      </w:pPr>
    </w:p>
    <w:p>
      <w:pPr>
        <w:rPr>
          <w:sz w:val="24"/>
          <w:rFonts w:ascii="Times New Roman" w:hAnsi="Times New Roman"/>
        </w:rPr>
      </w:pPr>
    </w:p>
    <w:p>
      <w:pPr>
        <w:jc w:val="both"/>
        <w:spacing w:after="0" w:line="240" w:lineRule="auto"/>
        <w:rPr>
          <w:b/>
          <w:sz w:val="24"/>
          <w:rFonts w:ascii="Times New Roman" w:hAnsi="Times New Roman"/>
        </w:rPr>
      </w:pPr>
    </w:p>
    <w:sectPr>
      <w:pgSz w:w="11906" w:h="16838"/>
      <w:pgMar w:left="1701" w:right="850" w:top="1134" w:bottom="1134" w:header="720" w:footer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363C" w:rsidRDefault="009E363C">
      <w:pPr>
        <w:spacing w:after="0" w:line="240" w:lineRule="auto"/>
      </w:pPr>
      <w:r>
        <w:separator/>
      </w:r>
    </w:p>
  </w:endnote>
  <w:endnote w:type="continuationSeparator" w:id="0">
    <w:p w:rsidR="009E363C" w:rsidRDefault="009E36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363C" w:rsidRDefault="009E363C">
      <w:pPr>
        <w:spacing w:after="0" w:line="240" w:lineRule="auto"/>
      </w:pPr>
      <w:r>
        <w:separator/>
      </w:r>
    </w:p>
  </w:footnote>
  <w:footnote w:type="continuationSeparator" w:id="0">
    <w:p w:rsidR="009E363C" w:rsidRDefault="009E36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32F475B9"/>
    <w:multiLevelType w:val="hybridMultilevel"/>
    <w:tmpl w:val="7F2E90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786EB1"/>
    <w:multiLevelType w:val="hybridMultilevel"/>
    <w:tmpl w:val="7F2E90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282209"/>
    <w:multiLevelType w:val="multilevel"/>
    <w:tmpl w:val="BEAA376E"/>
    <w:name w:val="WW8Num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6" w15:restartNumberingAfterBreak="0">
    <w:nsid w:val="67C94D58"/>
    <w:multiLevelType w:val="hybridMultilevel"/>
    <w:tmpl w:val="C3460DC8"/>
    <w:lvl w:ilvl="0" w:tplc="1E2A85BA">
      <w:start w:val="1"/>
      <w:numFmt w:val="decimal"/>
      <w:lvlText w:val="%1."/>
      <w:lvlJc w:val="left"/>
      <w:pPr>
        <w:ind w:left="108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5"/>
  </w:num>
  <w:num w:numId="5">
    <w:abstractNumId w:val="6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1900"/>
    <w:rsid w:val="0000334E"/>
    <w:rsid w:val="00085733"/>
    <w:rsid w:val="00097AA3"/>
    <w:rsid w:val="000D3150"/>
    <w:rsid w:val="00110EE3"/>
    <w:rsid w:val="0012785F"/>
    <w:rsid w:val="00141874"/>
    <w:rsid w:val="00182DFC"/>
    <w:rsid w:val="00210977"/>
    <w:rsid w:val="002355AC"/>
    <w:rsid w:val="00244854"/>
    <w:rsid w:val="002479CF"/>
    <w:rsid w:val="002509AB"/>
    <w:rsid w:val="00251D5D"/>
    <w:rsid w:val="00271F89"/>
    <w:rsid w:val="0029035A"/>
    <w:rsid w:val="002D188D"/>
    <w:rsid w:val="002D3093"/>
    <w:rsid w:val="002D6B90"/>
    <w:rsid w:val="00340C52"/>
    <w:rsid w:val="00376012"/>
    <w:rsid w:val="003A69A8"/>
    <w:rsid w:val="003E2C3D"/>
    <w:rsid w:val="00455C97"/>
    <w:rsid w:val="0046575E"/>
    <w:rsid w:val="004E1A33"/>
    <w:rsid w:val="004E592E"/>
    <w:rsid w:val="004F54B1"/>
    <w:rsid w:val="00523079"/>
    <w:rsid w:val="00573D5F"/>
    <w:rsid w:val="005A1748"/>
    <w:rsid w:val="005A7865"/>
    <w:rsid w:val="005B0530"/>
    <w:rsid w:val="005B5529"/>
    <w:rsid w:val="005F1B44"/>
    <w:rsid w:val="00614F9F"/>
    <w:rsid w:val="00627ABD"/>
    <w:rsid w:val="0063313C"/>
    <w:rsid w:val="0063696E"/>
    <w:rsid w:val="0065621B"/>
    <w:rsid w:val="006576BC"/>
    <w:rsid w:val="00680D9A"/>
    <w:rsid w:val="006A4F4F"/>
    <w:rsid w:val="006C2642"/>
    <w:rsid w:val="00701492"/>
    <w:rsid w:val="0071098A"/>
    <w:rsid w:val="00715654"/>
    <w:rsid w:val="00740520"/>
    <w:rsid w:val="00761CF0"/>
    <w:rsid w:val="007B2732"/>
    <w:rsid w:val="007E01A9"/>
    <w:rsid w:val="007E3278"/>
    <w:rsid w:val="0081781A"/>
    <w:rsid w:val="008300B7"/>
    <w:rsid w:val="00866367"/>
    <w:rsid w:val="0087799D"/>
    <w:rsid w:val="008B18A4"/>
    <w:rsid w:val="0091722F"/>
    <w:rsid w:val="009572BA"/>
    <w:rsid w:val="00966404"/>
    <w:rsid w:val="009C0CD8"/>
    <w:rsid w:val="009C1BBE"/>
    <w:rsid w:val="009D0C0F"/>
    <w:rsid w:val="009E363C"/>
    <w:rsid w:val="00A24ED1"/>
    <w:rsid w:val="00A8356B"/>
    <w:rsid w:val="00A941DD"/>
    <w:rsid w:val="00AB6776"/>
    <w:rsid w:val="00B01ED2"/>
    <w:rsid w:val="00B11900"/>
    <w:rsid w:val="00B21359"/>
    <w:rsid w:val="00B63212"/>
    <w:rsid w:val="00BD5959"/>
    <w:rsid w:val="00BE502C"/>
    <w:rsid w:val="00C67267"/>
    <w:rsid w:val="00C87441"/>
    <w:rsid w:val="00C91039"/>
    <w:rsid w:val="00CA2AB5"/>
    <w:rsid w:val="00CB0BA6"/>
    <w:rsid w:val="00CC1796"/>
    <w:rsid w:val="00CC4FAE"/>
    <w:rsid w:val="00CE2099"/>
    <w:rsid w:val="00CF040A"/>
    <w:rsid w:val="00CF42A8"/>
    <w:rsid w:val="00D01DE6"/>
    <w:rsid w:val="00D05289"/>
    <w:rsid w:val="00D0702B"/>
    <w:rsid w:val="00D1129B"/>
    <w:rsid w:val="00D42C38"/>
    <w:rsid w:val="00D478CB"/>
    <w:rsid w:val="00D66750"/>
    <w:rsid w:val="00E11AC6"/>
    <w:rsid w:val="00E12CEF"/>
    <w:rsid w:val="00E43D1F"/>
    <w:rsid w:val="00E82E08"/>
    <w:rsid w:val="00E8754B"/>
    <w:rsid w:val="00EA4D4E"/>
    <w:rsid w:val="00EA52A9"/>
    <w:rsid w:val="00EA5BFB"/>
    <w:rsid w:val="00EB3666"/>
    <w:rsid w:val="00EE6E5D"/>
    <w:rsid w:val="00EF1B5D"/>
    <w:rsid w:val="00F22F8E"/>
    <w:rsid w:val="00F50769"/>
    <w:rsid w:val="00F572D3"/>
    <w:rsid w:val="00F67D3B"/>
    <w:rsid w:val="00F95475"/>
    <w:rsid w:val="00FA320B"/>
    <w:rsid w:val="00FA3906"/>
    <w:rsid w:val="00FB3410"/>
    <w:rsid w:val="00FC26A5"/>
    <w:rsid w:val="00FF1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B66FA757-BB97-46A1-85E0-333203BC3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zh-CN"/>
    </w:rPr>
  </w:style>
  <w:style w:type="paragraph" w:styleId="2">
    <w:name w:val="heading 2"/>
    <w:basedOn w:val="a"/>
    <w:next w:val="a0"/>
    <w:qFormat/>
    <w:pPr>
      <w:tabs>
        <w:tab w:val="num" w:pos="576"/>
      </w:tabs>
      <w:spacing w:before="280" w:after="280" w:line="240" w:lineRule="auto"/>
      <w:ind w:left="576" w:hanging="576"/>
      <w:outlineLvl w:val="1"/>
    </w:pPr>
    <w:rPr>
      <w:rFonts w:ascii="Times New Roman" w:eastAsia="Times New Roman" w:hAnsi="Times New Roman"/>
      <w:b/>
      <w:bCs/>
      <w:sz w:val="36"/>
      <w:szCs w:val="36"/>
    </w:rPr>
  </w:style>
  <w:style w:type="paragraph" w:styleId="3">
    <w:name w:val="heading 3"/>
    <w:basedOn w:val="a"/>
    <w:next w:val="a0"/>
    <w:qFormat/>
    <w:pPr>
      <w:tabs>
        <w:tab w:val="num" w:pos="720"/>
      </w:tabs>
      <w:spacing w:before="280" w:after="280" w:line="240" w:lineRule="auto"/>
      <w:ind w:left="720" w:hanging="720"/>
      <w:outlineLvl w:val="2"/>
    </w:pPr>
    <w:rPr>
      <w:rFonts w:ascii="Times New Roman" w:eastAsia="Times New Roman" w:hAnsi="Times New Roman"/>
      <w:b/>
      <w:bCs/>
      <w:sz w:val="27"/>
      <w:szCs w:val="27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">
    <w:name w:val="Основной шрифт абзаца1"/>
  </w:style>
  <w:style w:type="character" w:customStyle="1" w:styleId="30">
    <w:name w:val="Знак Знак3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4">
    <w:name w:val="Strong"/>
    <w:qFormat/>
    <w:rPr>
      <w:b/>
      <w:bCs/>
    </w:rPr>
  </w:style>
  <w:style w:type="character" w:customStyle="1" w:styleId="20">
    <w:name w:val="Знак Знак2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apple-converted-space">
    <w:name w:val="apple-converted-space"/>
    <w:basedOn w:val="1"/>
  </w:style>
  <w:style w:type="character" w:customStyle="1" w:styleId="10">
    <w:name w:val="Знак Знак1"/>
    <w:basedOn w:val="1"/>
  </w:style>
  <w:style w:type="character" w:customStyle="1" w:styleId="a5">
    <w:name w:val="Знак Знак"/>
    <w:basedOn w:val="1"/>
  </w:style>
  <w:style w:type="character" w:styleId="a6">
    <w:name w:val="Hyperlink"/>
    <w:rPr>
      <w:color w:val="0000FF"/>
      <w:u w:val="single"/>
    </w:rPr>
  </w:style>
  <w:style w:type="character" w:styleId="a7">
    <w:name w:val="FollowedHyperlink"/>
    <w:rPr>
      <w:color w:val="800080"/>
      <w:u w:val="single"/>
    </w:rPr>
  </w:style>
  <w:style w:type="paragraph" w:styleId="a8">
    <w:name w:val="Title"/>
    <w:basedOn w:val="a"/>
    <w:next w:val="a0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0">
    <w:name w:val="Body Text"/>
    <w:basedOn w:val="a"/>
    <w:pPr>
      <w:spacing w:after="120"/>
    </w:pPr>
  </w:style>
  <w:style w:type="paragraph" w:styleId="a9">
    <w:name w:val="List"/>
    <w:basedOn w:val="a0"/>
    <w:rPr>
      <w:rFonts w:cs="Mang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1">
    <w:name w:val="Указатель1"/>
    <w:basedOn w:val="a"/>
    <w:pPr>
      <w:suppressLineNumbers/>
    </w:pPr>
    <w:rPr>
      <w:rFonts w:cs="Mangal"/>
    </w:rPr>
  </w:style>
  <w:style w:type="paragraph" w:styleId="ab">
    <w:name w:val="Normal (Web)"/>
    <w:basedOn w:val="a"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paragraph" w:styleId="ac">
    <w:name w:val="header"/>
    <w:basedOn w:val="a"/>
    <w:pPr>
      <w:tabs>
        <w:tab w:val="center" w:pos="4677"/>
        <w:tab w:val="right" w:pos="9355"/>
      </w:tabs>
      <w:spacing w:after="0" w:line="240" w:lineRule="auto"/>
    </w:pPr>
  </w:style>
  <w:style w:type="paragraph" w:styleId="ad">
    <w:name w:val="footer"/>
    <w:basedOn w:val="a"/>
    <w:link w:val="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link w:val="ad"/>
    <w:locked/>
    <w:rsid w:val="003E2C3D"/>
    <w:rPr>
      <w:rFonts w:ascii="Calibri" w:eastAsia="Calibri" w:hAnsi="Calibri"/>
      <w:sz w:val="22"/>
      <w:szCs w:val="22"/>
      <w:lang w:val="ru-RU" w:eastAsia="zh-CN" w:bidi="ar-SA"/>
    </w:rPr>
  </w:style>
  <w:style w:type="paragraph" w:styleId="af">
    <w:name w:val="List Paragraph"/>
    <w:basedOn w:val="a"/>
    <w:uiPriority w:val="34"/>
    <w:qFormat/>
    <w:rsid w:val="00BE502C"/>
    <w:pPr>
      <w:suppressAutoHyphens w:val="0"/>
      <w:ind w:left="720"/>
      <w:contextualSpacing/>
    </w:pPr>
    <w:rPr>
      <w:rFonts w:eastAsia="Times New Roman"/>
      <w:lang w:eastAsia="ru-RU"/>
    </w:rPr>
  </w:style>
  <w:style w:type="table" w:styleId="af0">
    <w:name w:val="Table Grid"/>
    <w:basedOn w:val="a2"/>
    <w:uiPriority w:val="59"/>
    <w:rsid w:val="00BE502C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219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281</Words>
  <Characters>1607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Заголовок: Отмена определения об оставлении заявления без рассмотрения</vt:lpstr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Заголовок: Отмена определения об оставлении заявления без рассмотрения</dc:title>
  <dc:subject/>
  <dc:creator>User</dc:creator>
  <cp:keywords/>
  <cp:lastModifiedBy>Shakarboy Goyibnazarov</cp:lastModifiedBy>
  <cp:revision>3</cp:revision>
  <cp:lastPrinted>1899-12-31T19:00:00Z</cp:lastPrinted>
  <dcterms:created xsi:type="dcterms:W3CDTF">2022-09-12T09:52:00Z</dcterms:created>
  <dcterms:modified xsi:type="dcterms:W3CDTF">2022-09-12T09:52:00Z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Iltimosnoma rekvizitlari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Iltimosnoma berilgan iqtisodiy sud nomi</w:name>
    <w:value w:hidden="false">
      <w:unit w:active="false"/>
      <w:binding w:dataSource="1" w:column="court_name" w:search="false"/>
    </w:value>
  </w:element>
  <w:element w:id="3" w:kind="variable" w:selector="check" w:type="date" w:valueMode="normal" w:required="false" w:groupID="1">
    <w:identifier xml:space="preserve">ID3</w:identifier>
    <w:name xml:space="preserve">Iltimosnoma berilgan sana</w:name>
    <w:comment xml:space="preserve">(kun, oy, yil)</w:comment>
    <w:value w:hidden="false">
      <w:unit w:active="false"/>
    </w:value>
  </w:element>
  <w:element w:id="4" w:kind="category" w:selector="check" w:type="string" w:valueMode="normal" w:required="false">
    <w:identifier xml:space="preserve">ID4</w:identifier>
    <w:name xml:space="preserve">Iltimosnoma beruvchi</w:name>
    <w:value w:hidden="true">
      <w:unit w:active="false"/>
    </w:value>
  </w:element>
  <w:element w:id="5" w:kind="variable" w:selector="check" w:type="string" w:valueMode="normal" w:required="false" w:groupID="4">
    <w:identifier xml:space="preserve">ID5</w:identifier>
    <w:name xml:space="preserve">Iltimosnoma beruvchining manzili</w:name>
    <w:value w:hidden="false">
      <w:unit w:active="false"/>
    </w:value>
  </w:element>
  <w:element w:id="6" w:kind="variable" w:selector="check" w:type="string" w:valueMode="normal" w:required="false" w:groupID="4">
    <w:identifier xml:space="preserve">ID6</w:identifier>
    <w:name xml:space="preserve">Iltimosnoma beruvchi yuridik shaxs nomi yoki yakka tartibdagi tadbirkor (YATT)ning F.I.Osi</w:name>
    <w:comment xml:space="preserve">Masalan: “Nur” MJCH yoki YATT A. Aliyev</w:comment>
    <w:value w:hidden="false">
      <w:unit w:active="false"/>
    </w:value>
  </w:element>
  <w:element w:id="7" w:kind="variable" w:selector="check" w:type="string" w:valueMode="normal" w:required="false" w:groupID="4">
    <w:identifier xml:space="preserve">ID7</w:identifier>
    <w:name xml:space="preserve">Iltimosnoma beruvchi yuridik shaxs rahbarining yoki yakka tartibdagi tadbirkor (YATT)ning F.I.Osi</w:name>
    <w:value w:hidden="false">
      <w:unit w:active="false"/>
    </w:value>
  </w:element>
  <w:element w:id="8" w:kind="category" w:selector="check" w:type="string" w:valueMode="normal" w:required="false">
    <w:identifier xml:space="preserve">ID8</w:identifier>
    <w:name xml:space="preserve">Iltimosnoma mazmuni</w:name>
    <w:value w:hidden="true">
      <w:unit w:active="false"/>
    </w:value>
  </w:element>
  <w:element w:id="9" w:kind="variable" w:selector="check" w:type="string" w:valueMode="normal" w:required="false" w:groupID="8">
    <w:identifier xml:space="preserve">ID9</w:identifier>
    <w:name xml:space="preserve">Ish bo‘yicha daʼvogar</w:name>
    <w:value w:hidden="false">
      <w:unit w:active="false"/>
    </w:value>
  </w:element>
  <w:element w:id="10" w:kind="variable" w:selector="check" w:type="string" w:valueMode="normal" w:required="false" w:groupID="8">
    <w:identifier xml:space="preserve">ID10</w:identifier>
    <w:name xml:space="preserve">Ish bo‘yicha javobgar</w:name>
    <w:value w:hidden="false">
      <w:unit w:active="false"/>
    </w:value>
  </w:element>
  <w:element w:id="11" w:kind="variable" w:selector="check" w:type="string" w:valueMode="normal" w:required="false" w:groupID="8">
    <w:identifier xml:space="preserve">ID11</w:identifier>
    <w:name xml:space="preserve">Daʼvo ariza mazmuni</w:name>
    <w:value w:hidden="false">
      <w:unit w:active="false"/>
    </w:value>
  </w:element>
  <w:element w:id="12" w:kind="variable" w:selector="check" w:type="string" w:valueMode="normal" w:required="false" w:groupID="8">
    <w:identifier xml:space="preserve">ID12</w:identifier>
    <w:name xml:space="preserve">Ish bo‘yicha hal qiluv qarori qabul qilingan sana</w:name>
    <w:value w:hidden="false">
      <w:unit w:active="false"/>
    </w:value>
  </w:element>
  <w:element w:id="13" w:kind="variable" w:selector="check" w:type="string" w:valueMode="normal" w:required="false" w:groupID="8">
    <w:identifier xml:space="preserve">ID13</w:identifier>
    <w:name xml:space="preserve">Hal qiluv qarori ustidan shikoyat keltirish uchun belgilangan muddat o‘tkazib yuborilishi uchun sabab bo‘lgan uzrli holatlar</w:name>
    <w:comment xml:space="preserve">(kasallik yoki boshqa holat )</w:comment>
    <w:value w:hidden="false">
      <w:unit w:active="false"/>
    </w:value>
  </w:element>
  <w:element w:id="14" w:kind="variable" w:selector="check" w:type="string" w:valueMode="normal" w:required="false" w:groupID="8">
    <w:identifier xml:space="preserve">ID14</w:identifier>
    <w:name xml:space="preserve">Shikoyat keltirish muddati uzrli sabab bilan o‘tkazib yuborilganligini isbotlovchi hujjatlar nomi</w:name>
    <w:value w:hidden="false">
      <w:unit w:active="false"/>
    </w:value>
  </w:element>
</w:structure>
</file>