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657"/>
        <w:gridCol w:w="4698"/>
      </w:tblGrid>
      <w:tr>
        <w:tc>
          <w:tcPr>
            <w:tcW w:w="4785" w:type="dxa"/>
            <w:shd w:fill="auto"/>
          </w:tcPr>
          <w:p>
            <w:pPr>
              <w:jc w:val="both"/>
              <w:spacing w:after="0" w:line="240" w:lineRule="auto"/>
              <w:rPr>
                <w:sz w:val="24"/>
                <w:rFonts w:ascii="Times New Roman" w:hAnsi="Times New Roman"/>
              </w:rPr>
            </w:pPr>
          </w:p>
        </w:tc>
        <w:tc>
          <w:tcPr>
            <w:tcW w:w="4786" w:type="dxa"/>
            <w:shd w:fill="auto"/>
          </w:tcPr>
          <w:p>
            <w:pPr>
              <w:jc w:val="both"/>
              <w:spacing w:after="0" w:line="240" w:lineRule="auto"/>
              <w:rPr>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Appelyatsiya shikoyati berilgan sud nomi</w:t>
            </w:r>
            <w:r>
              <w:rPr>
                <w:b/>
                <w:vanish w:val="false"/>
                <w:sz w:val="24"/>
                <w:rFonts w:ascii="Times New Roman" w:hAnsi="Times New Roman"/>
              </w:rPr>
              <w:fldChar w:fldCharType="end"/>
            </w:r>
            <w:r>
              <w:rPr>
                <w:b/>
                <w:sz w:val="24"/>
                <w:rFonts w:ascii="Times New Roman" w:hAnsi="Times New Roman"/>
              </w:rPr>
              <w:t xml:space="preserve"> </w:t>
            </w:r>
          </w:p>
        </w:tc>
      </w:tr>
      <w:tr>
        <w:tc>
          <w:tcPr>
            <w:tcW w:w="4785" w:type="dxa"/>
            <w:shd w:fill="auto"/>
          </w:tcPr>
          <w:p>
            <w:pPr>
              <w:jc w:val="both"/>
              <w:spacing w:after="0" w:line="240" w:lineRule="auto"/>
              <w:rPr>
                <w:sz w:val="24"/>
                <w:rFonts w:ascii="Times New Roman" w:hAnsi="Times New Roman"/>
              </w:rPr>
            </w:pPr>
          </w:p>
        </w:tc>
        <w:tc>
          <w:tcPr>
            <w:tcW w:w="4786" w:type="dxa"/>
            <w:shd w:fill="auto"/>
          </w:tcPr>
          <w:p>
            <w:pPr>
              <w:jc w:val="both"/>
              <w:spacing w:after="0" w:line="240" w:lineRule="auto"/>
              <w:rPr>
                <w:sz w:val="24"/>
                <w:rFonts w:ascii="Times New Roman" w:hAnsi="Times New Roman"/>
              </w:rPr>
            </w:pPr>
            <w:r>
              <w:rPr>
                <w:b/>
                <w:sz w:val="24"/>
                <w:rFonts w:ascii="Times New Roman" w:hAnsi="Times New Roman"/>
              </w:rPr>
              <w:t xml:space="preserve">apellyatsiya instansiyasiga</w:t>
            </w:r>
          </w:p>
          <w:p>
            <w:pPr>
              <w:jc w:val="both"/>
              <w:spacing w:after="0" w:line="240" w:lineRule="auto"/>
              <w:rPr>
                <w:sz w:val="24"/>
                <w:rFonts w:ascii="Times New Roman" w:hAnsi="Times New Roman"/>
              </w:rPr>
            </w:pPr>
          </w:p>
        </w:tc>
      </w:tr>
      <w:tr>
        <w:tc>
          <w:tcPr>
            <w:tcW w:w="4785" w:type="dxa"/>
            <w:shd w:fill="auto"/>
          </w:tcPr>
          <w:p>
            <w:pPr>
              <w:jc w:val="both"/>
              <w:spacing w:after="0" w:line="240" w:lineRule="auto"/>
              <w:rPr>
                <w:sz w:val="24"/>
                <w:rFonts w:ascii="Times New Roman" w:hAnsi="Times New Roman"/>
              </w:rPr>
            </w:pPr>
          </w:p>
        </w:tc>
        <w:tc>
          <w:tcPr>
            <w:tcW w:w="4786" w:type="dxa"/>
            <w:shd w:fill="auto"/>
          </w:tcPr>
          <w:p>
            <w:pPr>
              <w:jc w:val="both"/>
              <w:spacing w:after="0" w:line="240"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Apellyatsiya shikoyati beruvchi shaxsning F.I.O.si</w:t>
            </w:r>
            <w:r>
              <w:rPr>
                <w:vanish w:val="false"/>
                <w:sz w:val="24"/>
                <w:rFonts w:ascii="Times New Roman" w:hAnsi="Times New Roman"/>
              </w:rPr>
              <w:fldChar w:fldCharType="end"/>
            </w:r>
            <w:r>
              <w:rPr>
                <w:sz w:val="24"/>
                <w:rFonts w:ascii="Times New Roman" w:hAnsi="Times New Roman"/>
              </w:rPr>
              <w:t>dan</w:t>
            </w:r>
          </w:p>
          <w:p>
            <w:pPr>
              <w:jc w:val="both"/>
              <w:spacing w:after="0" w:line="240"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{"Y":6}</w:instrText>
              <w:fldChar w:fldCharType="separate"/>
              <w:t xml:space="preserve">Apellyatsiya shikoyati beruvchi shaxsning yashash manzili</w:t>
            </w:r>
            <w:r>
              <w:rPr>
                <w:vanish w:val="false"/>
                <w:sz w:val="24"/>
                <w:rFonts w:ascii="Times New Roman" w:hAnsi="Times New Roman"/>
              </w:rPr>
              <w:fldChar w:fldCharType="end"/>
            </w:r>
          </w:p>
          <w:p>
            <w:pPr>
              <w:jc w:val="both"/>
              <w:spacing w:after="0" w:line="240" w:lineRule="auto"/>
              <w:rPr>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{"Y":7}</w:instrText>
              <w:fldChar w:fldCharType="separate"/>
              <w:t xml:space="preserve">Apellyatsiya shikoyati beruvchi shaxsning telefon raqamlari</w:t>
            </w:r>
            <w:r>
              <w:rPr>
                <w:vanish w:val="false"/>
                <w:sz w:val="24"/>
                <w:rFonts w:ascii="Times New Roman" w:hAnsi="Times New Roman"/>
              </w:rPr>
              <w:fldChar w:fldCharType="end"/>
            </w:r>
          </w:p>
        </w:tc>
      </w:tr>
      <w:tr>
        <w:trPr>
          <w:gridAfter w:val="1"/>
        </w:trPr>
        <w:tc>
          <w:tcPr>
            <w:tcW w:w="4786" w:type="dxa"/>
            <w:shd w:fill="auto"/>
          </w:tcPr>
          <w:p/>
        </w:tc>
      </w:tr>
      <w:tr>
        <w:trPr>
          <w:gridAfter w:val="1"/>
        </w:trPr>
        <w:tc>
          <w:tcPr>
            <w:tcW w:w="4786" w:type="dxa"/>
            <w:shd w:fill="auto"/>
          </w:tcPr>
          <w:p>
            <w:pPr>
              <w:jc w:val="both"/>
              <w:spacing w:after="0" w:line="240" w:lineRule="auto"/>
              <w:rPr>
                <w:sz w:val="24"/>
                <w:rFonts w:ascii="Times New Roman" w:hAnsi="Times New Roman"/>
              </w:rPr>
            </w:pPr>
          </w:p>
        </w:tc>
      </w:tr>
      <w:tr>
        <w:tc>
          <w:tcPr>
            <w:tcW w:w="4785" w:type="dxa"/>
            <w:shd w:fill="auto"/>
          </w:tcPr>
          <w:p>
            <w:pPr>
              <w:jc w:val="both"/>
              <w:spacing w:after="0" w:line="240" w:lineRule="auto"/>
              <w:rPr>
                <w:sz w:val="24"/>
                <w:rFonts w:ascii="Times New Roman" w:hAnsi="Times New Roman"/>
              </w:rPr>
            </w:pPr>
          </w:p>
        </w:tc>
        <w:tc>
          <w:tcPr>
            <w:tcW w:w="4786" w:type="dxa"/>
            <w:shd w:fill="auto"/>
          </w:tcPr>
          <w:p>
            <w:pPr>
              <w:jc w:val="both"/>
              <w:spacing w:after="0" w:line="240" w:lineRule="auto"/>
              <w:rPr>
                <w:sz w:val="24"/>
                <w:rFonts w:ascii="Times New Roman" w:hAnsi="Times New Roman"/>
              </w:rPr>
            </w:pPr>
          </w:p>
        </w:tc>
      </w:tr>
      <w:tr>
        <w:trPr>
          <w:gridAfter w:val="1"/>
        </w:trPr>
        <w:tc>
          <w:tcPr>
            <w:tcW w:w="4786" w:type="dxa"/>
            <w:shd w:fill="auto"/>
          </w:tcPr>
          <w:p>
            <w:pPr>
              <w:jc w:val="both"/>
              <w:spacing w:after="0" w:line="240" w:lineRule="auto"/>
              <w:rPr>
                <w:sz w:val="24"/>
                <w:rFonts w:ascii="Times New Roman" w:hAnsi="Times New Roman"/>
              </w:rPr>
            </w:pPr>
          </w:p>
        </w:tc>
      </w:tr>
      <w:tr>
        <w:trPr>
          <w:gridAfter w:val="1"/>
        </w:trPr>
        <w:tc>
          <w:tcPr>
            <w:tcW w:w="4786" w:type="dxa"/>
            <w:shd w:fill="auto"/>
          </w:tcPr>
          <w:p>
            <w:pPr>
              <w:jc w:val="both"/>
              <w:spacing w:after="0" w:line="240" w:lineRule="auto"/>
              <w:rPr>
                <w:sz w:val="24"/>
                <w:rFonts w:ascii="Times New Roman" w:hAnsi="Times New Roman"/>
              </w:rPr>
            </w:pPr>
          </w:p>
        </w:tc>
      </w:tr>
    </w:tbl>
    <w:p>
      <w:pPr>
        <w:jc w:val="center"/>
        <w:spacing w:after="0" w:line="240" w:lineRule="auto"/>
        <w:rPr>
          <w:sz w:val="24"/>
          <w:rFonts w:ascii="Times New Roman" w:hAnsi="Times New Roman"/>
        </w:rPr>
      </w:pPr>
      <w:r>
        <w:rPr>
          <w:b/>
          <w:sz w:val="24"/>
          <w:rFonts w:ascii="Times New Roman" w:hAnsi="Times New Roman"/>
        </w:rPr>
        <w:t xml:space="preserve">APELLYATSIYA TARTIBIDA XUSUSIY SHIKOYAT</w:t>
      </w:r>
    </w:p>
    <w:p>
      <w:pPr>
        <w:jc w:val="center"/>
        <w:spacing w:after="0" w:line="240" w:lineRule="auto"/>
        <w:rPr>
          <w:sz w:val="24"/>
          <w:rFonts w:ascii="Times New Roman" w:hAnsi="Times New Roman"/>
        </w:rPr>
      </w:pPr>
      <w:r>
        <w:rPr>
          <w:sz w:val="24"/>
          <w:rFonts w:ascii="Times New Roman" w:hAnsi="Times New Roman"/>
        </w:rPr>
        <w:t xml:space="preserve">(Fuqarolik ishlari boʻyicha </w:t>
      </w:r>
      <w:r>
        <w:rPr>
          <w:vanish w:val="false"/>
          <w:sz w:val="24"/>
          <w:rFonts w:ascii="Times New Roman" w:hAnsi="Times New Roman"/>
        </w:rPr>
        <w:fldChar w:fldCharType="begin"/>
        <w:instrText xml:space="preserve">X {"Y":14}</w:instrText>
        <w:fldChar w:fldCharType="separate"/>
        <w:t xml:space="preserve">Birinchi instansiya sudining nomi</w:t>
      </w:r>
      <w:r>
        <w:rPr>
          <w:vanish w:val="false"/>
          <w:sz w:val="24"/>
          <w:rFonts w:ascii="Times New Roman" w:hAnsi="Times New Roman"/>
        </w:rPr>
        <w:fldChar w:fldCharType="end"/>
      </w:r>
      <w:r>
        <w:rPr>
          <w:sz w:val="24"/>
          <w:rFonts w:ascii="Times New Roman" w:hAnsi="Times New Roman"/>
        </w:rPr>
        <w:t xml:space="preserve"> sudining </w:t>
      </w:r>
      <w:r>
        <w:rPr>
          <w:vanish w:val="false"/>
          <w:sz w:val="24"/>
          <w:rFonts w:ascii="Times New Roman" w:hAnsi="Times New Roman"/>
        </w:rPr>
        <w:fldChar w:fldCharType="begin"/>
        <w:instrText xml:space="preserve">X {"Y":15}</w:instrText>
        <w:fldChar w:fldCharType="separate"/>
        <w:t xml:space="preserve">Birinchi instansiya sudi tomonidan hal qiluv qarori qabul qilingan sana</w:t>
      </w:r>
      <w:r>
        <w:rPr>
          <w:vanish w:val="false"/>
          <w:sz w:val="24"/>
          <w:rFonts w:ascii="Times New Roman" w:hAnsi="Times New Roman"/>
        </w:rPr>
        <w:fldChar w:fldCharType="end"/>
      </w:r>
      <w:r>
        <w:rPr>
          <w:sz w:val="24"/>
          <w:rFonts w:ascii="Times New Roman" w:hAnsi="Times New Roman"/>
        </w:rPr>
        <w:t xml:space="preserve">dagi hal qiluv qarori  ustidan)</w:t>
      </w:r>
    </w:p>
    <w:p>
      <w:pPr>
        <w:jc w:val="both"/>
        <w:spacing w:after="0" w:line="240" w:lineRule="auto"/>
        <w:rPr>
          <w:sz w:val="24"/>
          <w:rFonts w:ascii="Times New Roman" w:hAnsi="Times New Roman"/>
        </w:rPr>
      </w:pPr>
    </w:p>
    <w:p>
      <w:pPr>
        <w:jc w:val="both"/>
        <w:ind w:firstLine="708"/>
        <w:spacing w:after="0" w:line="240" w:lineRule="auto"/>
        <w:rPr>
          <w:sz w:val="24"/>
          <w:rFonts w:ascii="Times New Roman" w:hAnsi="Times New Roman"/>
        </w:rPr>
      </w:pPr>
      <w:r>
        <w:rPr>
          <w:sz w:val="24"/>
          <w:rFonts w:ascii="Times New Roman" w:hAnsi="Times New Roman"/>
        </w:rPr>
        <w:t xml:space="preserve">Daʼvogar </w:t>
      </w:r>
      <w:r>
        <w:rPr>
          <w:vanish w:val="false"/>
          <w:sz w:val="24"/>
          <w:rFonts w:ascii="Times New Roman" w:hAnsi="Times New Roman"/>
        </w:rPr>
        <w:fldChar w:fldCharType="begin"/>
        <w:instrText xml:space="preserve">X {"Y":20}</w:instrText>
        <w:fldChar w:fldCharType="separate"/>
        <w:t xml:space="preserve">Fuqarolik ishi bo‘yicha daʼvogarning F.I.O.si</w:t>
      </w:r>
      <w:r>
        <w:rPr>
          <w:vanish w:val="false"/>
          <w:sz w:val="24"/>
          <w:rFonts w:ascii="Times New Roman" w:hAnsi="Times New Roman"/>
        </w:rPr>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{"Y":21}</w:instrText>
        <w:fldChar w:fldCharType="separate"/>
        <w:t xml:space="preserve">Fuqarolik ishi bo‘yicha javobgarning F.I.O.si</w:t>
      </w:r>
      <w:r>
        <w:rPr>
          <w:vanish w:val="false"/>
          <w:sz w:val="24"/>
          <w:rFonts w:ascii="Times New Roman" w:hAnsi="Times New Roman"/>
        </w:rPr>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{"Y":22}</w:instrText>
        <w:fldChar w:fldCharType="separate"/>
        <w:t xml:space="preserve">Daʼvogarning daʼvo mazmuni</w:t>
      </w:r>
      <w:r>
        <w:rPr>
          <w:vanish w:val="false"/>
          <w:sz w:val="24"/>
          <w:rFonts w:ascii="Times New Roman" w:hAnsi="Times New Roman"/>
        </w:rPr>
        <w:fldChar w:fldCharType="end"/>
      </w:r>
      <w:r>
        <w:rPr>
          <w:sz w:val="24"/>
          <w:rFonts w:ascii="Times New Roman" w:hAnsi="Times New Roman"/>
        </w:rPr>
        <w:t xml:space="preserve"> toʻgʻrisidagi daʼvo arizasi </w:t>
      </w:r>
      <w:r>
        <w:rPr>
          <w:vanish w:val="false"/>
          <w:sz w:val="24"/>
          <w:rFonts w:ascii="Times New Roman" w:hAnsi="Times New Roman"/>
        </w:rPr>
        <w:fldChar w:fldCharType="begin"/>
        <w:instrText xml:space="preserve">X {"Y":15}</w:instrText>
        <w:fldChar w:fldCharType="separate"/>
        <w:t xml:space="preserve">Birinchi instansiya sudi tomonidan hal qiluv qarori qabul qilingan sana</w:t>
      </w:r>
      <w:r>
        <w:rPr>
          <w:vanish w:val="false"/>
          <w:sz w:val="24"/>
          <w:rFonts w:ascii="Times New Roman" w:hAnsi="Times New Roman"/>
        </w:rPr>
        <w:fldChar w:fldCharType="end"/>
      </w:r>
      <w:r>
        <w:rPr>
          <w:sz w:val="24"/>
          <w:rFonts w:ascii="Times New Roman" w:hAnsi="Times New Roman"/>
        </w:rPr>
        <w:t xml:space="preserve"> kuni fuqarolik ishlari boʻyicha </w:t>
      </w:r>
      <w:r>
        <w:rPr>
          <w:vanish w:val="false"/>
          <w:sz w:val="24"/>
          <w:rFonts w:ascii="Times New Roman" w:hAnsi="Times New Roman"/>
        </w:rPr>
        <w:fldChar w:fldCharType="begin"/>
        <w:instrText xml:space="preserve">X {"Y":14}</w:instrText>
        <w:fldChar w:fldCharType="separate"/>
        <w:t xml:space="preserve">Birinchi instansiya sudining nomi</w:t>
      </w:r>
      <w:r>
        <w:rPr>
          <w:vanish w:val="false"/>
          <w:sz w:val="24"/>
          <w:rFonts w:ascii="Times New Roman" w:hAnsi="Times New Roman"/>
        </w:rPr>
        <w:fldChar w:fldCharType="end"/>
      </w:r>
      <w:r>
        <w:rPr>
          <w:sz w:val="24"/>
          <w:rFonts w:ascii="Times New Roman" w:hAnsi="Times New Roman"/>
        </w:rPr>
        <w:t xml:space="preserve"> tomonidan mazmunan koʻrib chiqilib, </w:t>
      </w:r>
      <w:r>
        <w:rPr>
          <w:vanish w:val="false"/>
          <w:sz w:val="24"/>
          <w:rFonts w:ascii="Times New Roman" w:hAnsi="Times New Roman"/>
        </w:rPr>
        <w:fldChar w:fldCharType="begin"/>
        <w:instrText xml:space="preserve">X {"Y":23}</w:instrText>
        <w:fldChar w:fldCharType="separate"/>
        <w:t xml:space="preserve">Birinchi instansiya sudining hal qiluv qarori mazmuni</w:t>
      </w:r>
      <w:r>
        <w:rPr>
          <w:vanish w:val="false"/>
          <w:sz w:val="24"/>
          <w:rFonts w:ascii="Times New Roman" w:hAnsi="Times New Roman"/>
        </w:rPr>
        <w:fldChar w:fldCharType="end"/>
      </w:r>
      <w:r>
        <w:rPr>
          <w:sz w:val="24"/>
          <w:rFonts w:ascii="Times New Roman" w:hAnsi="Times New Roman"/>
        </w:rPr>
        <w:t xml:space="preserve"> toʻgʻrisida hal qiluv qarori qabul qilingan.</w:t>
      </w:r>
    </w:p>
    <w:p>
      <w:pPr>
        <w:jc w:val="both"/>
        <w:ind w:firstLine="708"/>
        <w:spacing w:after="0" w:line="240" w:lineRule="auto"/>
        <w:rPr>
          <w:sz w:val="24"/>
          <w:rFonts w:ascii="Times New Roman" w:hAnsi="Times New Roman"/>
        </w:rPr>
      </w:pPr>
      <w:r>
        <w:rPr>
          <w:sz w:val="24"/>
          <w:rFonts w:ascii="Times New Roman" w:hAnsi="Times New Roman"/>
        </w:rPr>
        <w:t xml:space="preserve">O‘zbekiston Respublikasi Fuqarolik protsessual kodeksining 15-moddasida sud taqdim etilgan materiallar va tushuntirishlar bilan cheklanmasdan, ishning haqiqiy holatlarini to‘liq va xolisona aniqlashi lozimligi belgilangan. </w:t>
      </w:r>
    </w:p>
    <w:p>
      <w:pPr>
        <w:jc w:val="both"/>
        <w:ind w:firstLine="708"/>
        <w:spacing w:after="0" w:line="240" w:lineRule="auto"/>
        <w:rPr>
          <w:sz w:val="24"/>
          <w:rFonts w:ascii="Times New Roman" w:hAnsi="Times New Roman"/>
        </w:rPr>
      </w:pPr>
      <w:r>
        <w:rPr>
          <w:sz w:val="24"/>
          <w:rFonts w:ascii="Times New Roman" w:hAnsi="Times New Roman"/>
        </w:rPr>
        <w:t xml:space="preserve">Quyidagilarga koʻra men ushbu hal qiluv qarori qonunchilik talablari buzilgan holda qabul qilingan deb hisoblayman. Xususan </w:t>
      </w:r>
      <w:r>
        <w:rPr>
          <w:vanish w:val="false"/>
          <w:sz w:val="24"/>
          <w:rFonts w:ascii="Times New Roman" w:hAnsi="Times New Roman"/>
        </w:rPr>
        <w:fldChar w:fldCharType="begin"/>
        <w:instrText xml:space="preserve">X {"Y":17}</w:instrText>
        <w:fldChar w:fldCharType="separate"/>
        <w:t xml:space="preserve">Hal qiluv qarori qabul qilinishida qaysi moddiy va protsessual qonun talablari buzilgan</w:t>
      </w:r>
      <w:r>
        <w:rPr>
          <w:vanish w:val="false"/>
          <w:sz w:val="24"/>
          <w:rFonts w:ascii="Times New Roman" w:hAnsi="Times New Roman"/>
        </w:rPr>
        <w:fldChar w:fldCharType="end"/>
      </w:r>
    </w:p>
    <w:p>
      <w:pPr>
        <w:jc w:val="both"/>
        <w:ind w:firstLine="708"/>
        <w:spacing w:after="0" w:line="240" w:lineRule="auto"/>
        <w:rPr>
          <w:sz w:val="24"/>
          <w:rFonts w:ascii="Times New Roman" w:hAnsi="Times New Roman"/>
        </w:rPr>
      </w:pPr>
      <w:r>
        <w:rPr>
          <w:sz w:val="24"/>
          <w:rFonts w:ascii="Times New Roman" w:hAnsi="Times New Roman"/>
        </w:rPr>
        <w:t xml:space="preserve">Yuqoridagilarga koʻra, sudning hal qiluv qarorini qonuniy, asosli va adolatli deb boʻlmaydi.</w:t>
      </w:r>
    </w:p>
    <w:p>
      <w:pPr>
        <w:jc w:val="both"/>
        <w:ind w:firstLine="684"/>
        <w:spacing w:after="0" w:line="240" w:lineRule="auto"/>
        <w:rPr>
          <w:sz w:val="24"/>
          <w:rFonts w:ascii="Times New Roman" w:hAnsi="Times New Roman"/>
        </w:rPr>
      </w:pPr>
      <w:r>
        <w:rPr>
          <w:sz w:val="24"/>
          <w:rFonts w:ascii="Times New Roman" w:hAnsi="Times New Roman"/>
        </w:rPr>
        <w:t xml:space="preserve">Oʻzbekiston Respublikasi Fuqarolik protsessual kodeksining 400-moddasiga asosan, </w:t>
      </w:r>
      <w:bookmarkStart w:id="1" w:name="3525902"/>
      <w:r>
        <w:rPr>
          <w:sz w:val="24"/>
          <w:rFonts w:ascii="Times New Roman" w:hAnsi="Times New Roman"/>
        </w:rPr>
        <w:t xml:space="preserve">taraflar va ishda ishtirok etuvchi boshqa shaxslar, shuningdek ishda ishtirok etishga jalb qilinmagan, huquq va majburiyatlari haqidagi masala sud tomonidan hal etilgan shaxslar birinchi instansiya sudining ajrimlari ustidan sud tomonidan ajrim topshirilgan yoki yuborilgan kundan eʼtiboran yigirma kun ichida apellyatsiya instansiyasi sudiga quyidagi hollarda sudning hal qiluv qaroridan alohida shikoyat qilishi va prokuror protest keltirishi mumkin:</w:t>
      </w:r>
    </w:p>
    <w:p>
      <w:pPr>
        <w:jc w:val="both"/>
        <w:ind w:firstLine="708"/>
        <w:spacing w:after="0" w:line="240" w:lineRule="auto"/>
        <w:rPr>
          <w:sz w:val="24"/>
          <w:rFonts w:ascii="Times New Roman" w:hAnsi="Times New Roman"/>
        </w:rPr>
      </w:pPr>
      <w:r>
        <w:rPr>
          <w:sz w:val="24"/>
          <w:rFonts w:ascii="Times New Roman" w:hAnsi="Times New Roman"/>
        </w:rPr>
        <w:t xml:space="preserve">1) ushbu Kodeksda nazarda tutilgan hollarda;</w:t>
      </w:r>
      <w:bookmarkEnd w:id="1"/>
    </w:p>
    <w:p>
      <w:pPr>
        <w:jc w:val="both"/>
        <w:ind w:firstLine="708"/>
        <w:spacing w:after="0" w:line="240" w:lineRule="auto"/>
        <w:rPr>
          <w:sz w:val="24"/>
          <w:rFonts w:ascii="Times New Roman" w:hAnsi="Times New Roman"/>
        </w:rPr>
      </w:pPr>
      <w:bookmarkStart w:id="2" w:name="3525903"/>
      <w:r>
        <w:rPr>
          <w:sz w:val="24"/>
          <w:rFonts w:ascii="Times New Roman" w:hAnsi="Times New Roman"/>
        </w:rPr>
        <w:t xml:space="preserve">2) sudning ajrimi ishning keyingi harakatlanishiga toʻsqinlik qiladigan hollarda.</w:t>
      </w:r>
      <w:bookmarkEnd w:id="2"/>
    </w:p>
    <w:p>
      <w:pPr>
        <w:jc w:val="both"/>
        <w:ind w:firstLine="708"/>
        <w:spacing w:after="0" w:line="240" w:lineRule="auto"/>
        <w:rPr>
          <w:sz w:val="24"/>
          <w:rFonts w:ascii="Times New Roman" w:hAnsi="Times New Roman"/>
        </w:rPr>
      </w:pPr>
      <w:r>
        <w:rPr>
          <w:sz w:val="24"/>
          <w:rFonts w:ascii="Times New Roman" w:hAnsi="Times New Roman"/>
        </w:rPr>
        <w:t xml:space="preserve">FPKning 372</w:t>
      </w:r>
      <w:r>
        <w:rPr>
          <w:sz w:val="24"/>
          <w:rFonts w:ascii="Times New Roman" w:hAnsi="Times New Roman"/>
          <w:vertAlign w:val="superscript"/>
        </w:rPr>
        <w:t>2</w:t>
      </w:r>
      <w:r>
        <w:rPr>
          <w:sz w:val="24"/>
          <w:rFonts w:ascii="Times New Roman" w:hAnsi="Times New Roman"/>
        </w:rPr>
        <w:t xml:space="preserve">-moddasiga muvofiq, sud hujjatini apellyatsiya, kassatsiya va taftish tartibida bekor qilish yoki o‘zgartirish uchun quyidagilar asos bo‘lishi mumkin:</w:t>
      </w:r>
    </w:p>
    <w:p>
      <w:pPr>
        <w:jc w:val="both"/>
        <w:ind w:firstLine="708"/>
        <w:spacing w:after="0" w:line="240" w:lineRule="auto"/>
        <w:rPr>
          <w:sz w:val="24"/>
          <w:rFonts w:ascii="Times New Roman" w:hAnsi="Times New Roman"/>
        </w:rPr>
      </w:pPr>
      <w:r>
        <w:rPr>
          <w:sz w:val="24"/>
          <w:rFonts w:ascii="Times New Roman" w:hAnsi="Times New Roman"/>
        </w:rPr>
        <w:t xml:space="preserve">1) ish uchun ahamiyatga ega bo‘lgan holatlarning to‘liq aniqlanmaganligi;</w:t>
      </w:r>
    </w:p>
    <w:p>
      <w:pPr>
        <w:jc w:val="both"/>
        <w:ind w:firstLine="708"/>
        <w:spacing w:after="0" w:line="240" w:lineRule="auto"/>
        <w:rPr>
          <w:sz w:val="24"/>
          <w:rFonts w:ascii="Times New Roman" w:hAnsi="Times New Roman"/>
        </w:rPr>
      </w:pPr>
      <w:r>
        <w:rPr>
          <w:sz w:val="24"/>
          <w:rFonts w:ascii="Times New Roman" w:hAnsi="Times New Roman"/>
        </w:rPr>
        <w:t xml:space="preserve">2) sud aniqlangan deb hisoblagan, ish uchun ahamiyatga ega bo‘lgan holatlarning isbotlanmaganligi;</w:t>
      </w:r>
    </w:p>
    <w:p>
      <w:pPr>
        <w:jc w:val="both"/>
        <w:ind w:firstLine="708"/>
        <w:spacing w:after="0" w:line="240" w:lineRule="auto"/>
        <w:rPr>
          <w:sz w:val="24"/>
          <w:rFonts w:ascii="Times New Roman" w:hAnsi="Times New Roman"/>
        </w:rPr>
      </w:pPr>
      <w:r>
        <w:rPr>
          <w:sz w:val="24"/>
          <w:rFonts w:ascii="Times New Roman" w:hAnsi="Times New Roman"/>
        </w:rPr>
        <w:t xml:space="preserve">3) sud hujjatida bayon etilgan sud xulosalarining ish holatlariga muvofiq emasligi;</w:t>
      </w:r>
    </w:p>
    <w:p>
      <w:pPr>
        <w:jc w:val="both"/>
        <w:ind w:firstLine="708"/>
        <w:spacing w:after="0" w:line="240" w:lineRule="auto"/>
        <w:rPr>
          <w:sz w:val="24"/>
          <w:rFonts w:ascii="Times New Roman" w:hAnsi="Times New Roman"/>
        </w:rPr>
      </w:pPr>
      <w:r>
        <w:rPr>
          <w:sz w:val="24"/>
          <w:rFonts w:ascii="Times New Roman" w:hAnsi="Times New Roman"/>
        </w:rPr>
        <w:t xml:space="preserve">4) bildirilgan talab bo‘yicha sud tomonidan sud hujjatining qabul qilinmaganligi;</w:t>
      </w:r>
    </w:p>
    <w:p>
      <w:pPr>
        <w:jc w:val="both"/>
        <w:ind w:firstLine="708"/>
        <w:spacing w:after="0" w:line="240" w:lineRule="auto"/>
        <w:rPr>
          <w:sz w:val="24"/>
          <w:rFonts w:ascii="Times New Roman" w:hAnsi="Times New Roman"/>
        </w:rPr>
      </w:pPr>
      <w:r>
        <w:rPr>
          <w:sz w:val="24"/>
          <w:rFonts w:ascii="Times New Roman" w:hAnsi="Times New Roman"/>
        </w:rPr>
        <w:t xml:space="preserve">5) moddiy va protsessual huquq normalarining buzilganligi yoki noto‘g‘ri qo‘llanilganligi.</w:t>
      </w:r>
    </w:p>
    <w:p>
      <w:pPr>
        <w:jc w:val="both"/>
        <w:ind w:firstLine="708"/>
        <w:spacing w:after="0" w:line="240" w:lineRule="auto"/>
        <w:rPr>
          <w:sz w:val="24"/>
          <w:rFonts w:ascii="Times New Roman" w:hAnsi="Times New Roman"/>
        </w:rPr>
      </w:pPr>
      <w:r>
        <w:rPr>
          <w:sz w:val="24"/>
          <w:rFonts w:ascii="Times New Roman" w:hAnsi="Times New Roman"/>
        </w:rPr>
        <w:t xml:space="preserve">Mazkur holatda sudning hal qiluv qarorini  asos bilan bekor qilish lozim boʻladi.</w:t>
      </w:r>
    </w:p>
    <w:p>
      <w:pPr>
        <w:jc w:val="both"/>
        <w:ind w:firstLine="708"/>
        <w:spacing w:after="0" w:line="240" w:lineRule="auto"/>
        <w:rPr>
          <w:sz w:val="24"/>
          <w:rFonts w:ascii="Times New Roman" w:hAnsi="Times New Roman"/>
        </w:rPr>
      </w:pPr>
      <w:r>
        <w:rPr>
          <w:sz w:val="24"/>
          <w:rFonts w:ascii="Times New Roman" w:hAnsi="Times New Roman"/>
        </w:rPr>
        <w:t xml:space="preserve">Bayon etilganlardan kelib chiqib, FPKning 372</w:t>
      </w:r>
      <w:r>
        <w:rPr>
          <w:sz w:val="24"/>
          <w:rFonts w:ascii="Times New Roman" w:hAnsi="Times New Roman"/>
          <w:vertAlign w:val="superscript"/>
        </w:rPr>
        <w:t>2</w:t>
      </w:r>
      <w:r>
        <w:rPr>
          <w:sz w:val="24"/>
          <w:rFonts w:ascii="Times New Roman" w:hAnsi="Times New Roman"/>
        </w:rPr>
        <w:t xml:space="preserve"> va 400-moddalariga asoslanib,</w:t>
      </w:r>
    </w:p>
    <w:p>
      <w:pPr>
        <w:jc w:val="both"/>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SOʻRAYMAN:</w:t>
      </w:r>
    </w:p>
    <w:p>
      <w:pPr>
        <w:jc w:val="both"/>
        <w:spacing w:after="0" w:line="240" w:lineRule="auto"/>
        <w:rPr>
          <w:sz w:val="24"/>
          <w:rFonts w:ascii="Times New Roman" w:hAnsi="Times New Roman"/>
        </w:rPr>
      </w:pPr>
    </w:p>
    <w:p>
      <w:pPr>
        <w:jc w:val="both"/>
        <w:ind w:firstLine="684"/>
        <w:spacing w:after="0" w:line="240" w:lineRule="auto"/>
        <w:rPr>
          <w:sz w:val="24"/>
          <w:rFonts w:ascii="Times New Roman" w:hAnsi="Times New Roman"/>
        </w:rPr>
      </w:pPr>
      <w:r>
        <w:rPr>
          <w:sz w:val="24"/>
          <w:rFonts w:ascii="Times New Roman" w:hAnsi="Times New Roman"/>
        </w:rPr>
        <w:t xml:space="preserve">Fuqarolik ishlari boʻyicha </w:t>
      </w:r>
      <w:r>
        <w:rPr>
          <w:vanish w:val="false"/>
          <w:sz w:val="24"/>
          <w:rFonts w:ascii="Times New Roman" w:hAnsi="Times New Roman"/>
        </w:rPr>
        <w:fldChar w:fldCharType="begin"/>
        <w:instrText xml:space="preserve">X {"Y":14}</w:instrText>
        <w:fldChar w:fldCharType="separate"/>
        <w:t xml:space="preserve">Birinchi instansiya sudining nomi</w:t>
      </w:r>
      <w:r>
        <w:rPr>
          <w:vanish w:val="false"/>
          <w:sz w:val="24"/>
          <w:rFonts w:ascii="Times New Roman" w:hAnsi="Times New Roman"/>
        </w:rPr>
        <w:fldChar w:fldCharType="end"/>
      </w:r>
      <w:r>
        <w:rPr>
          <w:sz w:val="24"/>
          <w:rFonts w:ascii="Times New Roman" w:hAnsi="Times New Roman"/>
        </w:rPr>
        <w:t xml:space="preserve"> sudining </w:t>
      </w:r>
      <w:r>
        <w:rPr>
          <w:vanish w:val="false"/>
          <w:sz w:val="24"/>
          <w:rFonts w:ascii="Times New Roman" w:hAnsi="Times New Roman"/>
        </w:rPr>
        <w:fldChar w:fldCharType="begin"/>
        <w:instrText xml:space="preserve">X {"Y":15}</w:instrText>
        <w:fldChar w:fldCharType="separate"/>
        <w:t xml:space="preserve">Birinchi instansiya sudi tomonidan hal qiluv qarori qabul qilingan sana</w:t>
      </w:r>
      <w:r>
        <w:rPr>
          <w:vanish w:val="false"/>
          <w:sz w:val="24"/>
          <w:rFonts w:ascii="Times New Roman" w:hAnsi="Times New Roman"/>
        </w:rPr>
        <w:fldChar w:fldCharType="end"/>
      </w:r>
      <w:r>
        <w:rPr>
          <w:sz w:val="24"/>
          <w:rFonts w:ascii="Times New Roman" w:hAnsi="Times New Roman"/>
        </w:rPr>
        <w:t xml:space="preserve">dagi hal qiluv qarorini bekor qilishni va </w:t>
      </w:r>
      <w:r>
        <w:rPr>
          <w:vanish w:val="false"/>
          <w:sz w:val="24"/>
          <w:rFonts w:ascii="Times New Roman" w:hAnsi="Times New Roman"/>
        </w:rPr>
        <w:fldChar w:fldCharType="begin"/>
        <w:instrText xml:space="preserve">X {"Y":19}</w:instrText>
        <w:fldChar w:fldCharType="separate"/>
        <w:t xml:space="preserve">Birinchi instansiya sudining hal qiluv qarorini bekor qilish bilan birga qanday mazmunda qaror qabul qilinishi so‘raladi</w:t>
      </w:r>
      <w:r>
        <w:rPr>
          <w:vanish w:val="false"/>
          <w:sz w:val="24"/>
          <w:rFonts w:ascii="Times New Roman" w:hAnsi="Times New Roman"/>
        </w:rPr>
        <w:fldChar w:fldCharType="end"/>
      </w:r>
    </w:p>
    <w:p>
      <w:pPr>
        <w:jc w:val="both"/>
        <w:spacing w:after="0" w:line="240" w:lineRule="auto"/>
        <w:rPr>
          <w:sz w:val="24"/>
          <w:rFonts w:ascii="Times New Roman" w:hAnsi="Times New Roman"/>
        </w:rPr>
      </w:pPr>
    </w:p>
    <w:p>
      <w:pPr>
        <w:jc w:val="both"/>
        <w:ind w:firstLine="684"/>
        <w:spacing w:after="0" w:line="240" w:lineRule="auto"/>
        <w:rPr>
          <w:sz w:val="24"/>
          <w:rFonts w:ascii="Times New Roman" w:hAnsi="Times New Roman"/>
        </w:rPr>
      </w:pPr>
      <w:r>
        <w:rPr>
          <w:sz w:val="24"/>
          <w:rFonts w:ascii="Times New Roman" w:hAnsi="Times New Roman"/>
        </w:rPr>
        <w:t>ILOVA:</w:t>
      </w:r>
    </w:p>
    <w:p>
      <w:pPr>
        <w:jc w:val="both"/>
        <w:spacing w:after="0" w:line="240" w:lineRule="auto"/>
        <w:rPr>
          <w:sz w:val="24"/>
          <w:rFonts w:ascii="Times New Roman" w:hAnsi="Times New Roman"/>
        </w:rPr>
      </w:pPr>
    </w:p>
    <w:p>
      <w:pPr>
        <w:jc w:val="both"/>
        <w:ind w:firstLine="684"/>
        <w:spacing w:after="0" w:line="240" w:lineRule="auto"/>
        <w:rPr>
          <w:sz w:val="24"/>
          <w:rFonts w:ascii="Times New Roman" w:hAnsi="Times New Roman"/>
        </w:rPr>
      </w:pPr>
      <w:r>
        <w:rPr>
          <w:sz w:val="24"/>
          <w:rFonts w:ascii="Times New Roman" w:hAnsi="Times New Roman"/>
        </w:rPr>
        <w:t>1</w:t>
      </w:r>
      <w:bookmarkStart w:id="3" w:name="3525771"/>
      <w:r>
        <w:rPr>
          <w:sz w:val="24"/>
          <w:rFonts w:ascii="Times New Roman" w:hAnsi="Times New Roman"/>
        </w:rPr>
        <w:t>.</w:t>
      </w:r>
      <w:bookmarkEnd w:id="3"/>
      <w:r>
        <w:rPr>
          <w:sz w:val="24"/>
          <w:rFonts w:ascii="Times New Roman" w:hAnsi="Times New Roman"/>
        </w:rPr>
        <w:t xml:space="preserve"> Shikoyat nusxasi</w:t>
      </w:r>
    </w:p>
    <w:p>
      <w:pPr>
        <w:jc w:val="both"/>
        <w:ind w:firstLine="684"/>
        <w:spacing w:after="0" w:line="240" w:lineRule="auto"/>
        <w:rPr>
          <w:sz w:val="24"/>
          <w:rFonts w:ascii="Times New Roman" w:hAnsi="Times New Roman"/>
        </w:rPr>
      </w:pPr>
      <w:r>
        <w:rPr>
          <w:sz w:val="24"/>
          <w:rFonts w:ascii="Times New Roman" w:hAnsi="Times New Roman"/>
        </w:rPr>
        <w:t xml:space="preserve">2. Shikoyatimni asoslovchi xujjatlar</w:t>
      </w:r>
    </w:p>
    <w:p>
      <w:pPr>
        <w:jc w:val="both"/>
        <w:ind w:firstLine="684"/>
        <w:spacing w:after="0" w:line="240" w:lineRule="auto"/>
        <w:rPr>
          <w:sz w:val="24"/>
          <w:rFonts w:ascii="Times New Roman" w:hAnsi="Times New Roman"/>
        </w:rPr>
      </w:pPr>
      <w:r>
        <w:rPr>
          <w:sz w:val="24"/>
          <w:rFonts w:ascii="Times New Roman" w:hAnsi="Times New Roman"/>
        </w:rPr>
        <w:t xml:space="preserve">3. Hal qiluv qarori nusxasi</w:t>
      </w:r>
    </w:p>
    <w:p>
      <w:pPr>
        <w:jc w:val="both"/>
        <w:ind w:firstLine="684"/>
        <w:spacing w:after="0" w:line="240" w:lineRule="auto"/>
        <w:rPr>
          <w:sz w:val="24"/>
          <w:rFonts w:ascii="Times New Roman" w:hAnsi="Times New Roman"/>
        </w:rPr>
      </w:pPr>
      <w:r>
        <w:rPr>
          <w:sz w:val="24"/>
          <w:rFonts w:ascii="Times New Roman" w:hAnsi="Times New Roman"/>
        </w:rPr>
        <w:t xml:space="preserve">4. Davlat boji va pochta xarajatlari toʻlanganligi toʻgʻrisidagi hujjatlar</w:t>
      </w:r>
    </w:p>
    <w:p>
      <w:pPr>
        <w:jc w:val="both"/>
        <w:ind w:firstLine="684"/>
        <w:spacing w:after="0" w:line="240" w:lineRule="auto"/>
        <w:rPr>
          <w:sz w:val="24"/>
          <w:rFonts w:ascii="Times New Roman" w:hAnsi="Times New Roman"/>
        </w:rPr>
      </w:pPr>
    </w:p>
    <w:p>
      <w:pPr>
        <w:jc w:val="both"/>
        <w:spacing w:after="0" w:line="240" w:lineRule="auto"/>
        <w:rPr>
          <w:sz w:val="24"/>
          <w:rFonts w:ascii="Times New Roman" w:hAnsi="Times New Roman"/>
        </w:rPr>
      </w:pPr>
    </w:p>
    <w:p>
      <w:pPr>
        <w:jc w:val="both"/>
        <w:spacing w:after="0" w:line="240" w:lineRule="auto"/>
        <w:rPr>
          <w:sz w:val="24"/>
          <w:rFonts w:ascii="Times New Roman" w:hAnsi="Times New Roman"/>
        </w:rPr>
      </w:pPr>
    </w:p>
    <w:p>
      <w:pPr>
        <w:jc w:val="both"/>
        <w:spacing w:after="0" w:line="240" w:lineRule="auto"/>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t xml:space="preserve">Apellyatsiya shikoyati beruvchi shaxsning F.I.O.si</w:t>
      </w:r>
      <w:r>
        <w:rPr>
          <w:vanish w:val="false"/>
          <w:sz w:val="24"/>
          <w:rFonts w:ascii="Times New Roman" w:hAnsi="Times New Roman"/>
        </w:rPr>
        <w:fldChar w:fldCharType="end"/>
      </w:r>
      <w:r>
        <w:rPr>
          <w:sz w:val="24"/>
          <w:rFonts w:ascii="Times New Roman" w:hAnsi="Times New Roman"/>
        </w:rPr>
        <w:t xml:space="preserve"> </w:t>
        <w:tab/>
        <w:t xml:space="preserve">    </w:t>
      </w:r>
      <w:r>
        <w:rPr>
          <w:b/>
          <w:sz w:val="24"/>
          <w:rFonts w:ascii="Times New Roman" w:hAnsi="Times New Roman"/>
        </w:rPr>
        <w:t xml:space="preserve"> ______________</w:t>
      </w:r>
    </w:p>
    <w:p>
      <w:pPr>
        <w:jc w:val="both"/>
        <w:spacing w:after="0" w:line="240" w:lineRule="auto"/>
        <w:rPr>
          <w:sz w:val="24"/>
          <w:rFonts w:ascii="Times New Roman" w:hAnsi="Times New Roman"/>
        </w:rPr>
      </w:pPr>
    </w:p>
    <w:p>
      <w:pPr>
        <w:jc w:val="both"/>
        <w:spacing w:after="0" w:line="240" w:lineRule="auto"/>
        <w:rPr>
          <w:sz w:val="24"/>
          <w:rFonts w:ascii="Times New Roman" w:hAnsi="Times New Roman"/>
        </w:rPr>
      </w:pPr>
    </w:p>
    <w:p>
      <w:pPr>
        <w:jc w:val="both"/>
        <w:spacing w:after="0" w:line="240" w:lineRule="auto"/>
        <w:rPr>
          <w:sz w:val="24"/>
          <w:rFonts w:ascii="Times New Roman" w:hAnsi="Times New Roman"/>
        </w:rPr>
      </w:pPr>
      <w:r>
        <w:t xml:space="preserve">  </w:t>
      </w:r>
      <w:r>
        <w:rPr>
          <w:vanish w:val="false"/>
          <w:sz w:val="24"/>
          <w:rFonts w:ascii="Times New Roman" w:hAnsi="Times New Roman"/>
        </w:rPr>
        <w:fldChar w:fldCharType="begin"/>
        <w:instrText xml:space="preserve">X {"Y":3}</w:instrText>
        <w:fldChar w:fldCharType="separate"/>
        <w:t xml:space="preserve">Appelyatsiya shikoyati berilgan sana</w:t>
      </w:r>
      <w:r>
        <w:rPr>
          <w:vanish w:val="false"/>
          <w:sz w:val="24"/>
          <w:rFonts w:ascii="Times New Roman" w:hAnsi="Times New Roman"/>
        </w:rPr>
        <w:fldChar w:fldCharType="end"/>
      </w:r>
    </w:p>
    <w:p>
      <w:pPr>
        <w:jc w:val="both"/>
        <w:spacing w:after="0" w:line="240" w:lineRule="auto"/>
        <w:rPr>
          <w:sz w:val="24"/>
          <w:rFonts w:ascii="Times New Roman" w:hAnsi="Times New Roman"/>
        </w:rPr>
      </w:pPr>
    </w:p>
    <w:p>
      <w:pPr>
        <w:jc w:val="both"/>
        <w:spacing w:after="0" w:line="240" w:lineRule="auto"/>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D38E7"/>
    <w:multiLevelType w:val="hybridMultilevel"/>
    <w:tmpl w:val="65DC4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023FE8"/>
    <w:multiLevelType w:val="hybridMultilevel"/>
    <w:tmpl w:val="2400870C"/>
    <w:lvl w:ilvl="0" w:tplc="65409CEC">
      <w:start w:val="1"/>
      <w:numFmt w:val="decimal"/>
      <w:lvlText w:val="%1"/>
      <w:lvlJc w:val="left"/>
      <w:pPr>
        <w:ind w:left="1065" w:hanging="705"/>
      </w:pPr>
      <w:rPr>
        <w:rFonts w:hint="default"/>
        <w:color w:val="FF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B0A23C8"/>
    <w:multiLevelType w:val="hybridMultilevel"/>
    <w:tmpl w:val="A386D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CA518A"/>
    <w:multiLevelType w:val="hybridMultilevel"/>
    <w:tmpl w:val="4CB41A0E"/>
    <w:lvl w:ilvl="0" w:tplc="65409CEC">
      <w:start w:val="1"/>
      <w:numFmt w:val="decimal"/>
      <w:lvlText w:val="%1"/>
      <w:lvlJc w:val="left"/>
      <w:pPr>
        <w:ind w:left="1065" w:hanging="705"/>
      </w:pPr>
      <w:rPr>
        <w:rFonts w:hint="default"/>
        <w:color w:val="FF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EA259E1"/>
    <w:multiLevelType w:val="hybridMultilevel"/>
    <w:tmpl w:val="B9A8E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DF3F11"/>
    <w:multiLevelType w:val="hybridMultilevel"/>
    <w:tmpl w:val="A7829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44A"/>
    <w:rsid w:val="00071EC5"/>
    <w:rsid w:val="00192E1A"/>
    <w:rsid w:val="0019510C"/>
    <w:rsid w:val="001E2EB3"/>
    <w:rsid w:val="001E73A7"/>
    <w:rsid w:val="00201944"/>
    <w:rsid w:val="00216243"/>
    <w:rsid w:val="00216320"/>
    <w:rsid w:val="00232212"/>
    <w:rsid w:val="003204DE"/>
    <w:rsid w:val="003529A3"/>
    <w:rsid w:val="00372155"/>
    <w:rsid w:val="00382604"/>
    <w:rsid w:val="003E1CCB"/>
    <w:rsid w:val="00411593"/>
    <w:rsid w:val="00417137"/>
    <w:rsid w:val="004C79E9"/>
    <w:rsid w:val="00537937"/>
    <w:rsid w:val="0054589F"/>
    <w:rsid w:val="005605B2"/>
    <w:rsid w:val="00576D1E"/>
    <w:rsid w:val="006408DB"/>
    <w:rsid w:val="006541E2"/>
    <w:rsid w:val="006561F9"/>
    <w:rsid w:val="00677854"/>
    <w:rsid w:val="0071244A"/>
    <w:rsid w:val="0075670E"/>
    <w:rsid w:val="007D201A"/>
    <w:rsid w:val="00872FCA"/>
    <w:rsid w:val="00877C53"/>
    <w:rsid w:val="008F0032"/>
    <w:rsid w:val="00964096"/>
    <w:rsid w:val="009A0147"/>
    <w:rsid w:val="009C573C"/>
    <w:rsid w:val="00A1345D"/>
    <w:rsid w:val="00A23879"/>
    <w:rsid w:val="00A460F8"/>
    <w:rsid w:val="00A51151"/>
    <w:rsid w:val="00B4532C"/>
    <w:rsid w:val="00BC205A"/>
    <w:rsid w:val="00BF2267"/>
    <w:rsid w:val="00C82C43"/>
    <w:rsid w:val="00C92859"/>
    <w:rsid w:val="00CA3B28"/>
    <w:rsid w:val="00D5153C"/>
    <w:rsid w:val="00DD5556"/>
    <w:rsid w:val="00E06D83"/>
    <w:rsid w:val="00E275F4"/>
    <w:rsid w:val="00E579CA"/>
    <w:rsid w:val="00F52BA0"/>
    <w:rsid w:val="00F75057"/>
    <w:rsid w:val="00F97826"/>
    <w:rsid w:val="00FF0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2D0A4E-6C7E-44AD-A7A5-06F3E4EB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EB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D5153C"/>
    <w:rPr>
      <w:color w:val="0000FF"/>
      <w:u w:val="single"/>
    </w:rPr>
  </w:style>
  <w:style w:type="paragraph" w:styleId="a4">
    <w:name w:val="List Paragraph"/>
    <w:basedOn w:val="a"/>
    <w:uiPriority w:val="34"/>
    <w:qFormat/>
    <w:rsid w:val="003204DE"/>
    <w:pPr>
      <w:ind w:left="720"/>
      <w:contextualSpacing/>
    </w:pPr>
    <w:rPr>
      <w:rFonts w:eastAsia="Calibri"/>
      <w:lang w:eastAsia="en-US"/>
    </w:rPr>
  </w:style>
  <w:style w:type="table" w:styleId="a5">
    <w:name w:val="Table Grid"/>
    <w:basedOn w:val="a1"/>
    <w:uiPriority w:val="59"/>
    <w:rsid w:val="004171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73355-A8E1-4215-B982-F400A7B3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dcterms:created xsi:type="dcterms:W3CDTF">2022-09-14T12:10:00Z</dcterms:created>
  <dcterms:modified xsi:type="dcterms:W3CDTF">2022-09-14T12:10:00Z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Apellyatsiya shikoyati rekvizitlari</w:name>
    <w:value w:hidden="true">
      <w:unit w:active="false"/>
    </w:value>
  </w:element>
  <w:element w:id="2" w:kind="variable" w:selector="check" w:type="string" w:valueMode="normal" w:required="false" w:groupID="1">
    <w:identifier xml:space="preserve">ID2</w:identifier>
    <w:name xml:space="preserve">Appelyatsiya shikoyati berilgan sud nomi</w:name>
    <w:comment xml:space="preserve"/>
    <w:value w:hidden="false">
      <w:unit w:active="false"/>
      <w:binding w:dataSource="1" w:column="court_name" w:search="false"/>
    </w:value>
  </w:element>
  <w:element w:id="3" w:kind="variable" w:selector="check" w:type="date" w:valueMode="normal" w:required="false" w:groupID="1">
    <w:identifier xml:space="preserve">ID3</w:identifier>
    <w:name xml:space="preserve">Appelyatsiya shikoyati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Apellyatsiya shikoyati beruvchi shaxsning F.I.O.si</w:name>
    <w:value w:hidden="false">
      <w:unit w:active="false"/>
    </w:value>
  </w:element>
  <w:element w:id="6" w:kind="variable" w:selector="check" w:type="string" w:valueMode="normal" w:required="false" w:groupID="4">
    <w:identifier xml:space="preserve">ID6</w:identifier>
    <w:name xml:space="preserve">Apellyatsiya shikoyati beruvchi shaxsning yashash manzili</w:name>
    <w:comment xml:space="preserve">Viloyat, tuman (shahar), mahala, ko‘cha nomi va uy raqami to‘liq ko‘rsatiladi</w:comment>
    <w:value w:hidden="false">
      <w:unit w:active="false"/>
    </w:value>
  </w:element>
  <w:element w:id="7" w:kind="variable" w:selector="check" w:type="string" w:valueMode="normal" w:required="false" w:groupID="4">
    <w:identifier xml:space="preserve">ID7</w:identifier>
    <w:name xml:space="preserve">Apellyatsiya shikoyati beruvchi shaxsning telefon raqamlari</w:name>
    <w:value w:hidden="false">
      <w:unit w:active="false"/>
    </w:value>
  </w:element>
  <w:element w:id="13" w:kind="category" w:selector="check" w:type="string" w:valueMode="normal" w:required="false">
    <w:identifier xml:space="preserve">ID13</w:identifier>
    <w:name xml:space="preserve">Apellyatsiya shikoyati mazmuni</w:name>
    <w:value w:hidden="true">
      <w:unit w:active="false"/>
    </w:value>
  </w:element>
  <w:element w:id="14" w:kind="variable" w:selector="check" w:type="string" w:valueMode="normal" w:required="false" w:groupID="13">
    <w:identifier xml:space="preserve">ID14</w:identifier>
    <w:name xml:space="preserve">Birinchi instansiya sudining nomi</w:name>
    <w:comment xml:space="preserve"/>
    <w:value w:hidden="false">
      <w:unit w:active="false"/>
    </w:value>
  </w:element>
  <w:element w:id="20" w:kind="variable" w:selector="check" w:type="string" w:valueMode="normal" w:required="false" w:groupID="13">
    <w:identifier xml:space="preserve">ID20</w:identifier>
    <w:name xml:space="preserve">Fuqarolik ishi bo‘yicha daʼvogarning F.I.O.si</w:name>
    <w:value w:hidden="false">
      <w:unit w:active="false"/>
    </w:value>
  </w:element>
  <w:element w:id="21" w:kind="variable" w:selector="check" w:type="string" w:valueMode="normal" w:required="false" w:groupID="13">
    <w:identifier xml:space="preserve">ID21</w:identifier>
    <w:name xml:space="preserve">Fuqarolik ishi bo‘yicha javobgarning F.I.O.si</w:name>
    <w:value w:hidden="false">
      <w:unit w:active="false"/>
    </w:value>
  </w:element>
  <w:element w:id="22" w:kind="variable" w:selector="check" w:type="string" w:valueMode="normal" w:required="false" w:groupID="13">
    <w:identifier xml:space="preserve">ID22</w:identifier>
    <w:name xml:space="preserve">Daʼvogarning daʼvo mazmuni</w:name>
    <w:value w:hidden="false">
      <w:unit w:active="false"/>
    </w:value>
  </w:element>
  <w:element w:id="23" w:kind="variable" w:selector="check" w:type="string" w:valueMode="normal" w:required="false" w:groupID="13">
    <w:identifier xml:space="preserve">ID23</w:identifier>
    <w:name xml:space="preserve">Birinchi instansiya sudining hal qiluv qarori mazmuni</w:name>
    <w:value w:hidden="false">
      <w:unit w:active="false"/>
    </w:value>
  </w:element>
  <w:element w:id="15" w:kind="variable" w:selector="check" w:type="date" w:valueMode="normal" w:required="false" w:groupID="13">
    <w:identifier xml:space="preserve">ID15</w:identifier>
    <w:name xml:space="preserve">Birinchi instansiya sudi tomonidan hal qiluv qarori qabul qilingan sana</w:name>
    <w:comment xml:space="preserve"/>
    <w:value w:hidden="false">
      <w:unit w:active="false"/>
    </w:value>
  </w:element>
  <w:element w:id="17" w:kind="variable" w:selector="check" w:type="string" w:valueMode="normal" w:required="false" w:groupID="13">
    <w:identifier xml:space="preserve">ID17</w:identifier>
    <w:name xml:space="preserve">Hal qiluv qarori qabul qilinishida qaysi moddiy va protsessual qonun talablari buzilgan</w:name>
    <w:comment xml:space="preserve">Izoh: Ushbu bandda sud qarorining noqonuniyligi nimadan iboratligi batafsil ko‘rsatilishi lozim</w:comment>
    <w:value w:hidden="false">
      <w:unit w:active="false"/>
    </w:value>
  </w:element>
  <w:element w:id="19" w:kind="variable" w:selector="check" w:type="string" w:valueMode="normal" w:required="false" w:groupID="13">
    <w:identifier xml:space="preserve">ID19</w:identifier>
    <w:name xml:space="preserve">Birinchi instansiya sudining hal qiluv qarorini bekor qilish bilan birga qanday mazmunda qaror qabul qilinishi so‘raladi</w:name>
    <w:comment xml:space="preserve">Masalan: Hal qiluv qarorini bekor qilish va ishni mazmunan ko‘rib chiqish uchun birinchi instansiya sudiga yuborish, qarorni bekor qilib, yangi hal qiluv qarori qabul qilish, qarorni qisman bekor qilish</w:comment>
    <w:value w:hidden="false">
      <w:unit w:active="false"/>
    </w:value>
  </w:element>
</w:structure>
</file>