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 Id="rId5" Type="http://yurxizmat.uz/officeDocument/2006/relationships/document-dataSources" Target="legal/dataSourc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3064"/>
        <w:gridCol w:w="1853"/>
        <w:gridCol w:w="4438"/>
      </w:tblGrid>
      <w:tr>
        <w:tc>
          <w:tcPr>
            <w:tcW w:w="3190" w:type="dxa"/>
          </w:tcPr>
          <w:p>
            <w:pPr>
              <w:jc w:val="both"/>
              <w:rPr>
                <w:b/>
                <w:sz w:val="24"/>
                <w:rFonts w:ascii="Times New Roman" w:hAnsi="Times New Roman"/>
              </w:rPr>
            </w:pPr>
            <w:r>
              <w:rPr>
                <w:sz w:val="24"/>
                <w:rFonts w:ascii="Times New Roman" w:hAnsi="Times New Roman"/>
              </w:rPr>
            </w:r>
          </w:p>
        </w:tc>
        <w:tc>
          <w:tcPr>
            <w:tcW w:w="1880" w:type="dxa"/>
          </w:tcPr>
          <w:p>
            <w:pPr>
              <w:jc w:val="both"/>
              <w:rPr>
                <w:b/>
                <w:sz w:val="24"/>
                <w:rFonts w:ascii="Times New Roman" w:hAnsi="Times New Roman"/>
              </w:rPr>
            </w:pPr>
            <w:r>
              <w:rPr>
                <w:sz w:val="24"/>
                <w:rFonts w:ascii="Times New Roman" w:hAnsi="Times New Roman"/>
              </w:rPr>
            </w:r>
          </w:p>
        </w:tc>
        <w:tc>
          <w:tcPr>
            <w:tcW w:w="4501" w:type="dxa"/>
          </w:tcPr>
          <w:p>
            <w:pPr>
              <w:jc w:val="both"/>
              <w:rPr>
                <w:b/>
                <w:sz w:val="24"/>
                <w:rFonts w:ascii="Times New Roman" w:hAnsi="Times New Roman"/>
              </w:rPr>
            </w:pPr>
            <w:r>
              <w:rPr>
                <w:b/>
                <w:sz w:val="24"/>
                <w:rFonts w:ascii="Times New Roman" w:hAnsi="Times New Roman"/>
              </w:rPr>
              <w:t xml:space="preserve">Fuqarolik ishlari boʻyicha </w:t>
            </w:r>
          </w:p>
          <w:p>
            <w:pPr>
              <w:jc w:val="both"/>
              <w:rPr>
                <w:b/>
                <w:sz w:val="24"/>
                <w:rFonts w:ascii="Times New Roman" w:hAnsi="Times New Roman"/>
              </w:rPr>
            </w:pPr>
            <w:r>
              <w:rPr>
                <w:b/>
                <w:vanish w:val="false"/>
                <w:sz w:val="24"/>
                <w:rFonts w:ascii="Times New Roman" w:hAnsi="Times New Roman"/>
              </w:rPr>
              <w:fldChar w:fldCharType="begin"/>
              <w:instrText xml:space="preserve">X {"Y":2}</w:instrText>
              <w:fldChar w:fldCharType="separate"/>
              <w:t xml:space="preserve">Appelyatsiya shikoyati berilgan sud nomi</w:t>
            </w:r>
            <w:r>
              <w:rPr>
                <w:b/>
                <w:vanish w:val="false"/>
                <w:sz w:val="24"/>
                <w:rFonts w:ascii="Times New Roman" w:hAnsi="Times New Roman"/>
              </w:rPr>
              <w:fldChar w:fldCharType="end"/>
            </w:r>
            <w:r>
              <w:rPr>
                <w:b/>
                <w:sz w:val="24"/>
                <w:rFonts w:ascii="Times New Roman" w:hAnsi="Times New Roman"/>
              </w:rPr>
              <w:t xml:space="preserve">i appelyatsiya instansiyasiga</w:t>
            </w:r>
          </w:p>
          <w:p>
            <w:pPr>
              <w:jc w:val="both"/>
              <w:rPr>
                <w:b/>
                <w:sz w:val="24"/>
                <w:rFonts w:ascii="Times New Roman" w:hAnsi="Times New Roman"/>
              </w:rPr>
            </w:pPr>
            <w:r>
              <w:rPr>
                <w:sz w:val="24"/>
                <w:rFonts w:ascii="Times New Roman" w:hAnsi="Times New Roman"/>
              </w:rPr>
            </w:r>
          </w:p>
        </w:tc>
      </w:tr>
      <w:tr>
        <w:tc>
          <w:tcPr>
            <w:tcW w:w="3190" w:type="dxa"/>
          </w:tcPr>
          <w:p>
            <w:pPr>
              <w:jc w:val="both"/>
              <w:rPr>
                <w:b/>
                <w:sz w:val="24"/>
                <w:rFonts w:ascii="Times New Roman" w:hAnsi="Times New Roman"/>
              </w:rPr>
            </w:pPr>
            <w:r>
              <w:rPr>
                <w:sz w:val="24"/>
                <w:rFonts w:ascii="Times New Roman" w:hAnsi="Times New Roman"/>
              </w:rPr>
            </w:r>
          </w:p>
        </w:tc>
        <w:tc>
          <w:tcPr>
            <w:tcW w:w="1880" w:type="dxa"/>
          </w:tcPr>
          <w:p>
            <w:pPr>
              <w:jc w:val="both"/>
              <w:rPr>
                <w:sz w:val="24"/>
                <w:rFonts w:ascii="Times New Roman" w:hAnsi="Times New Roman"/>
              </w:rPr>
            </w:pPr>
            <w:r>
              <w:rPr>
                <w:sz w:val="24"/>
                <w:rFonts w:ascii="Times New Roman" w:hAnsi="Times New Roman"/>
              </w:rPr>
              <w:t>Daʼvogar:</w:t>
            </w:r>
          </w:p>
        </w:tc>
        <w:tc>
          <w:tcPr>
            <w:tcW w:w="4501" w:type="dxa"/>
          </w:tcPr>
          <w:p>
            <w:pPr>
              <w:jc w:val="both"/>
              <w:rPr>
                <w:sz w:val="24"/>
                <w:rFonts w:ascii="Times New Roman" w:hAnsi="Times New Roman"/>
              </w:rPr>
            </w:pPr>
            <w:r>
              <w:rPr>
                <w:vanish w:val="false"/>
                <w:sz w:val="24"/>
                <w:rFonts w:ascii="Times New Roman" w:hAnsi="Times New Roman"/>
              </w:rPr>
              <w:fldChar w:fldCharType="begin"/>
              <w:instrText xml:space="preserve">X {"Y":5}</w:instrText>
              <w:fldChar w:fldCharType="separate"/>
              <w:t xml:space="preserve">Shikoyat beruvchining F.I.O.si</w:t>
            </w:r>
            <w:r>
              <w:rPr>
                <w:vanish w:val="false"/>
                <w:sz w:val="24"/>
                <w:rFonts w:ascii="Times New Roman" w:hAnsi="Times New Roman"/>
              </w:rPr>
              <w:fldChar w:fldCharType="end"/>
            </w:r>
            <w:r>
              <w:rPr>
                <w:sz w:val="24"/>
                <w:rFonts w:ascii="Times New Roman" w:hAnsi="Times New Roman"/>
              </w:rPr>
              <w:t>dan</w:t>
            </w:r>
          </w:p>
          <w:p>
            <w:pPr>
              <w:jc w:val="both"/>
              <w:rPr>
                <w:sz w:val="24"/>
                <w:rFonts w:ascii="Times New Roman" w:hAnsi="Times New Roman"/>
              </w:rPr>
            </w:pPr>
            <w:r>
              <w:rPr>
                <w:sz w:val="24"/>
                <w:rFonts w:ascii="Times New Roman" w:hAnsi="Times New Roman"/>
              </w:rPr>
            </w:r>
          </w:p>
        </w:tc>
      </w:tr>
      <w:tr>
        <w:tc>
          <w:tcPr>
            <w:tcW w:w="3190" w:type="dxa"/>
          </w:tcPr>
          <w:p>
            <w:pPr>
              <w:jc w:val="both"/>
              <w:rPr>
                <w:b/>
                <w:sz w:val="24"/>
                <w:rFonts w:ascii="Times New Roman" w:hAnsi="Times New Roman"/>
              </w:rPr>
            </w:pPr>
            <w:r>
              <w:rPr>
                <w:sz w:val="24"/>
                <w:rFonts w:ascii="Times New Roman" w:hAnsi="Times New Roman"/>
              </w:rPr>
            </w:r>
          </w:p>
        </w:tc>
        <w:tc>
          <w:tcPr>
            <w:tcW w:w="1880" w:type="dxa"/>
          </w:tcPr>
          <w:p>
            <w:pPr>
              <w:jc w:val="both"/>
              <w:rPr>
                <w:sz w:val="24"/>
                <w:rFonts w:ascii="Times New Roman" w:hAnsi="Times New Roman"/>
              </w:rPr>
            </w:pPr>
            <w:r>
              <w:rPr>
                <w:sz w:val="24"/>
                <w:rFonts w:ascii="Times New Roman" w:hAnsi="Times New Roman"/>
              </w:rPr>
              <w:t>Manzil:</w:t>
            </w:r>
          </w:p>
        </w:tc>
        <w:tc>
          <w:tcPr>
            <w:tcW w:w="4501" w:type="dxa"/>
          </w:tcPr>
          <w:p>
            <w:pPr>
              <w:jc w:val="both"/>
              <w:rPr>
                <w:sz w:val="24"/>
                <w:rFonts w:ascii="Times New Roman" w:hAnsi="Times New Roman"/>
              </w:rPr>
            </w:pPr>
            <w:r>
              <w:rPr>
                <w:vanish w:val="false"/>
                <w:sz w:val="24"/>
                <w:rFonts w:ascii="Times New Roman" w:hAnsi="Times New Roman"/>
              </w:rPr>
              <w:fldChar w:fldCharType="begin"/>
              <w:instrText xml:space="preserve">X {"Y":6}</w:instrText>
              <w:fldChar w:fldCharType="separate"/>
              <w:t xml:space="preserve">Shikoyat beruvchining manzili</w:t>
            </w:r>
            <w:r>
              <w:rPr>
                <w:vanish w:val="false"/>
                <w:sz w:val="24"/>
                <w:rFonts w:ascii="Times New Roman" w:hAnsi="Times New Roman"/>
              </w:rPr>
              <w:fldChar w:fldCharType="end"/>
            </w:r>
          </w:p>
          <w:p>
            <w:pPr>
              <w:jc w:val="both"/>
              <w:rPr>
                <w:sz w:val="24"/>
                <w:rFonts w:ascii="Times New Roman" w:hAnsi="Times New Roman"/>
              </w:rPr>
            </w:pPr>
            <w:r>
              <w:rPr>
                <w:sz w:val="24"/>
                <w:rFonts w:ascii="Times New Roman" w:hAnsi="Times New Roman"/>
              </w:rPr>
            </w:r>
          </w:p>
        </w:tc>
      </w:tr>
      <w:tr>
        <w:tc>
          <w:tcPr>
            <w:tcW w:w="3190" w:type="dxa"/>
          </w:tcPr>
          <w:p>
            <w:pPr>
              <w:jc w:val="both"/>
              <w:rPr>
                <w:b/>
                <w:sz w:val="24"/>
                <w:rFonts w:ascii="Times New Roman" w:hAnsi="Times New Roman"/>
              </w:rPr>
            </w:pPr>
            <w:r>
              <w:rPr>
                <w:sz w:val="24"/>
                <w:rFonts w:ascii="Times New Roman" w:hAnsi="Times New Roman"/>
              </w:rPr>
            </w:r>
          </w:p>
        </w:tc>
        <w:tc>
          <w:tcPr>
            <w:tcW w:w="1880" w:type="dxa"/>
          </w:tcPr>
          <w:p>
            <w:pPr>
              <w:jc w:val="both"/>
              <w:rPr>
                <w:sz w:val="24"/>
                <w:rFonts w:ascii="Times New Roman" w:hAnsi="Times New Roman"/>
              </w:rPr>
            </w:pPr>
            <w:r>
              <w:rPr>
                <w:sz w:val="24"/>
                <w:rFonts w:ascii="Times New Roman" w:hAnsi="Times New Roman"/>
              </w:rPr>
              <w:t>Telefon:</w:t>
            </w:r>
          </w:p>
        </w:tc>
        <w:tc>
          <w:tcPr>
            <w:tcW w:w="4501" w:type="dxa"/>
          </w:tcPr>
          <w:p>
            <w:pPr>
              <w:jc w:val="both"/>
              <w:rPr>
                <w:sz w:val="24"/>
                <w:rFonts w:ascii="Times New Roman" w:hAnsi="Times New Roman"/>
              </w:rPr>
            </w:pPr>
            <w:r>
              <w:rPr>
                <w:vanish w:val="false"/>
                <w:sz w:val="24"/>
                <w:rFonts w:ascii="Times New Roman" w:hAnsi="Times New Roman"/>
              </w:rPr>
              <w:fldChar w:fldCharType="begin"/>
              <w:instrText xml:space="preserve">X {"Y":7}</w:instrText>
              <w:fldChar w:fldCharType="separate"/>
              <w:t xml:space="preserve">Shikoyat beruvchining telefon raqami</w:t>
            </w:r>
            <w:r>
              <w:rPr>
                <w:vanish w:val="false"/>
                <w:sz w:val="24"/>
                <w:rFonts w:ascii="Times New Roman" w:hAnsi="Times New Roman"/>
              </w:rPr>
              <w:fldChar w:fldCharType="end"/>
            </w:r>
          </w:p>
          <w:p>
            <w:pPr>
              <w:jc w:val="both"/>
              <w:rPr>
                <w:sz w:val="24"/>
                <w:rFonts w:ascii="Times New Roman" w:hAnsi="Times New Roman"/>
              </w:rPr>
            </w:pPr>
            <w:r>
              <w:rPr>
                <w:sz w:val="24"/>
                <w:rFonts w:ascii="Times New Roman" w:hAnsi="Times New Roman"/>
              </w:rPr>
            </w:r>
          </w:p>
        </w:tc>
      </w:tr>
    </w:tbl>
    <w:p>
      <w:pPr>
        <w:jc w:val="center"/>
        <w:spacing w:after="0" w:line="240" w:lineRule="auto"/>
        <w:rPr>
          <w:b/>
          <w:sz w:val="24"/>
          <w:rFonts w:ascii="Times New Roman" w:hAnsi="Times New Roman"/>
        </w:rPr>
      </w:pPr>
      <w:r>
        <w:rPr>
          <w:sz w:val="24"/>
          <w:rFonts w:ascii="Times New Roman" w:hAnsi="Times New Roman"/>
        </w:rPr>
      </w:r>
    </w:p>
    <w:p>
      <w:pPr>
        <w:jc w:val="center"/>
        <w:spacing w:after="0" w:line="240" w:lineRule="auto"/>
        <w:rPr>
          <w:b/>
          <w:sz w:val="24"/>
          <w:rFonts w:ascii="Times New Roman" w:hAnsi="Times New Roman"/>
        </w:rPr>
      </w:pPr>
      <w:r>
        <w:rPr>
          <w:sz w:val="24"/>
          <w:rFonts w:ascii="Times New Roman" w:hAnsi="Times New Roman"/>
        </w:rPr>
      </w:r>
    </w:p>
    <w:p>
      <w:pPr>
        <w:jc w:val="center"/>
        <w:spacing w:after="0" w:line="240" w:lineRule="auto"/>
        <w:rPr>
          <w:b/>
          <w:sz w:val="24"/>
          <w:rFonts w:ascii="Times New Roman" w:hAnsi="Times New Roman"/>
        </w:rPr>
      </w:pPr>
      <w:r>
        <w:rPr>
          <w:b/>
          <w:sz w:val="24"/>
          <w:rFonts w:ascii="Times New Roman" w:hAnsi="Times New Roman"/>
        </w:rPr>
        <w:t xml:space="preserve">APELLYATSIYA SHIKOYATI</w:t>
      </w:r>
    </w:p>
    <w:p>
      <w:pPr>
        <w:jc w:val="center"/>
        <w:spacing w:after="0" w:line="240" w:lineRule="auto"/>
        <w:rPr>
          <w:b/>
          <w:sz w:val="24"/>
          <w:rFonts w:ascii="Times New Roman" w:hAnsi="Times New Roman"/>
        </w:rPr>
      </w:pPr>
      <w:r>
        <w:rPr>
          <w:sz w:val="24"/>
          <w:rFonts w:ascii="Times New Roman" w:hAnsi="Times New Roman"/>
        </w:rPr>
      </w:r>
    </w:p>
    <w:p>
      <w:pPr>
        <w:jc w:val="center"/>
        <w:spacing w:after="0" w:line="240" w:lineRule="auto"/>
        <w:rPr>
          <w:i/>
          <w:sz w:val="24"/>
          <w:rFonts w:ascii="Times New Roman" w:hAnsi="Times New Roman"/>
        </w:rPr>
      </w:pPr>
      <w:r>
        <w:rPr>
          <w:i/>
          <w:sz w:val="20"/>
          <w:rFonts w:ascii="Times New Roman" w:hAnsi="Times New Roman"/>
        </w:rPr>
        <w:t xml:space="preserve">(Fuqarolik ishlari boʻyicha </w:t>
      </w:r>
      <w:r>
        <w:rPr>
          <w:i/>
          <w:vanish w:val="false"/>
          <w:sz w:val="20"/>
          <w:rFonts w:ascii="Times New Roman" w:hAnsi="Times New Roman"/>
        </w:rPr>
        <w:fldChar w:fldCharType="begin"/>
        <w:instrText xml:space="preserve">X {"Y":9}</w:instrText>
        <w:fldChar w:fldCharType="separate"/>
        <w:t xml:space="preserve">Ustidan shikoyat berilayotgan qarorni qabul qilgan sud nomi</w:t>
      </w:r>
      <w:r>
        <w:rPr>
          <w:i/>
          <w:vanish w:val="false"/>
          <w:sz w:val="20"/>
          <w:rFonts w:ascii="Times New Roman" w:hAnsi="Times New Roman"/>
        </w:rPr>
        <w:fldChar w:fldCharType="end"/>
      </w:r>
      <w:r>
        <w:rPr>
          <w:i/>
          <w:sz w:val="20"/>
          <w:rFonts w:ascii="Times New Roman" w:hAnsi="Times New Roman"/>
        </w:rPr>
        <w:t xml:space="preserve">   sudining </w:t>
      </w:r>
      <w:r>
        <w:rPr>
          <w:i/>
          <w:vanish w:val="false"/>
          <w:sz w:val="20"/>
          <w:rFonts w:ascii="Times New Roman" w:hAnsi="Times New Roman"/>
        </w:rPr>
        <w:fldChar w:fldCharType="begin"/>
        <w:instrText xml:space="preserve">X {"Y":10}</w:instrText>
        <w:fldChar w:fldCharType="separate"/>
        <w:t xml:space="preserve">Ustidan shikoyat berilayotgan qaror qabul qilingan sana</w:t>
      </w:r>
      <w:r>
        <w:rPr>
          <w:i/>
          <w:vanish w:val="false"/>
          <w:sz w:val="20"/>
          <w:rFonts w:ascii="Times New Roman" w:hAnsi="Times New Roman"/>
        </w:rPr>
        <w:fldChar w:fldCharType="end"/>
      </w:r>
      <w:r>
        <w:rPr>
          <w:i/>
          <w:sz w:val="20"/>
          <w:rFonts w:ascii="Times New Roman" w:hAnsi="Times New Roman"/>
        </w:rPr>
        <w:t xml:space="preserve">dagi qarori ustidan)</w:t>
      </w:r>
    </w:p>
    <w:p>
      <w:r>
        <w:rPr>
          <w:sz w:val="20"/>
          <w:rFonts w:ascii="Times New Roman" w:hAnsi="Times New Roman"/>
        </w:rPr>
      </w:r>
    </w:p>
    <w:p>
      <w:pPr>
        <w:jc w:val="both"/>
        <w:ind w:firstLine="684"/>
        <w:spacing w:after="0" w:line="240" w:lineRule="auto"/>
        <w:rPr>
          <w:sz w:val="24"/>
          <w:rFonts w:ascii="Times New Roman" w:hAnsi="Times New Roman"/>
        </w:rPr>
      </w:pPr>
      <w:r>
        <w:rPr>
          <w:i w:val="false"/>
          <w:sz w:val="24"/>
          <w:rFonts w:ascii="Times New Roman" w:hAnsi="Times New Roman"/>
        </w:rPr>
        <w:t xml:space="preserve">Quyidagilarga koʻra, fuqarolik ishlari boʻyicha </w:t>
      </w:r>
      <w:r>
        <w:rPr>
          <w:i w:val="false"/>
          <w:vanish w:val="false"/>
          <w:sz w:val="24"/>
          <w:rFonts w:ascii="Times New Roman" w:hAnsi="Times New Roman"/>
        </w:rPr>
        <w:fldChar w:fldCharType="begin"/>
        <w:instrText xml:space="preserve">X {"Y":9}</w:instrText>
        <w:fldChar w:fldCharType="separate"/>
        <w:t xml:space="preserve">Ustidan shikoyat berilayotgan qarorni qabul qilgan sud nomi</w:t>
      </w:r>
      <w:r>
        <w:rPr>
          <w:i w:val="false"/>
          <w:vanish w:val="false"/>
          <w:sz w:val="24"/>
          <w:rFonts w:ascii="Times New Roman" w:hAnsi="Times New Roman"/>
        </w:rPr>
        <w:fldChar w:fldCharType="end"/>
      </w:r>
      <w:r>
        <w:rPr>
          <w:i w:val="false"/>
          <w:sz w:val="24"/>
          <w:rFonts w:ascii="Times New Roman" w:hAnsi="Times New Roman"/>
        </w:rPr>
        <w:t xml:space="preserve"> sudining </w:t>
      </w:r>
      <w:r>
        <w:rPr>
          <w:i w:val="false"/>
          <w:vanish w:val="false"/>
          <w:sz w:val="24"/>
          <w:rFonts w:ascii="Times New Roman" w:hAnsi="Times New Roman"/>
        </w:rPr>
        <w:fldChar w:fldCharType="begin"/>
        <w:instrText xml:space="preserve">X {"Y":10}</w:instrText>
        <w:fldChar w:fldCharType="separate"/>
        <w:t xml:space="preserve">Ustidan shikoyat berilayotgan qaror qabul qilingan sana</w:t>
      </w:r>
      <w:r>
        <w:rPr>
          <w:i w:val="false"/>
          <w:vanish w:val="false"/>
          <w:sz w:val="24"/>
          <w:rFonts w:ascii="Times New Roman" w:hAnsi="Times New Roman"/>
        </w:rPr>
        <w:fldChar w:fldCharType="end"/>
      </w:r>
      <w:r>
        <w:rPr>
          <w:i w:val="false"/>
          <w:sz w:val="24"/>
          <w:rFonts w:ascii="Times New Roman" w:hAnsi="Times New Roman"/>
        </w:rPr>
        <w:t xml:space="preserve">dagi hal qiluv qarorini qonun talablari buzilgan holda qabul qilingan deb hisoblayman.</w:t>
      </w:r>
    </w:p>
    <w:p>
      <w:pPr>
        <w:jc w:val="both"/>
        <w:ind w:firstLine="684"/>
        <w:spacing w:after="0" w:line="240" w:lineRule="auto"/>
        <w:rPr>
          <w:sz w:val="24"/>
          <w:rFonts w:ascii="Times New Roman" w:hAnsi="Times New Roman"/>
        </w:rPr>
      </w:pPr>
      <w:r>
        <w:rPr>
          <w:i w:val="false"/>
          <w:vanish w:val="false"/>
          <w:sz w:val="24"/>
          <w:rFonts w:ascii="Times New Roman" w:hAnsi="Times New Roman"/>
        </w:rPr>
        <w:t xml:space="preserve">Men, daʼvo arizamda Daʼvo arizada bayon qilingan ish holatlariligini koʻrsatib, suddan Daʼvogarning daʼvo talabi ni soʻraganman va daʼvo talablarimning asosi sifatida  Daʼvo arizaga asos sifatida koʻrsatilgan holatlar larni keltirganman. </w:t>
      </w:r>
    </w:p>
    <w:p>
      <w:pPr>
        <w:jc w:val="both"/>
        <w:shd w:fill="ffffff"/>
        <w:ind w:firstLine="684"/>
        <w:spacing w:after="0" w:line="240" w:lineRule="auto"/>
        <w:rPr>
          <w:color w:val="000000"/>
          <w:sz w:val="24"/>
          <w:rFonts w:ascii="Times New Roman" w:hAnsi="Times New Roman"/>
        </w:rPr>
      </w:pPr>
      <w:r>
        <w:rPr>
          <w:i w:val="false"/>
          <w:vanish w:val="false"/>
          <w:color w:val="000000"/>
          <w:sz w:val="24"/>
          <w:rFonts w:ascii="Times New Roman" w:hAnsi="Times New Roman"/>
        </w:rPr>
        <w:t xml:space="preserve">Shuningdek, vajlarimning asosli ekanligi sud majlisida yana Daʼvogarning fikricha uning vajlarini sud majlisida isbotlagan dalillar kabi dalillar  bilan ham tasdigʻini topdi.</w:t>
      </w:r>
    </w:p>
    <w:p>
      <w:pPr>
        <w:jc w:val="both"/>
        <w:shd w:fill="ffffff"/>
        <w:ind w:firstLine="684"/>
        <w:spacing w:after="0" w:line="240" w:lineRule="auto"/>
        <w:rPr>
          <w:color w:val="000000"/>
          <w:sz w:val="24"/>
          <w:rFonts w:ascii="Times New Roman" w:hAnsi="Times New Roman"/>
        </w:rPr>
      </w:pPr>
      <w:r>
        <w:rPr>
          <w:i w:val="false"/>
          <w:vanish w:val="false"/>
          <w:color w:val="000000"/>
          <w:sz w:val="24"/>
          <w:rFonts w:ascii="Times New Roman" w:hAnsi="Times New Roman"/>
        </w:rPr>
        <w:t xml:space="preserve">Biroq sud, Daʼvogarning fikricha sud inobatga olmagan holatlarini inobatga olmasdan, notoʻgʻri xulosaga kelgan.</w:t>
      </w:r>
    </w:p>
    <w:p>
      <w:pPr>
        <w:jc w:val="both"/>
        <w:shd w:fill="ffffff"/>
        <w:ind w:firstLine="684"/>
        <w:spacing w:after="0" w:line="240" w:lineRule="auto"/>
        <w:rPr>
          <w:color w:val="000000"/>
          <w:sz w:val="24"/>
          <w:rFonts w:ascii="Times New Roman" w:hAnsi="Times New Roman"/>
        </w:rPr>
      </w:pPr>
      <w:r>
        <w:rPr>
          <w:i w:val="false"/>
          <w:vanish w:val="false"/>
          <w:color w:val="000000"/>
          <w:sz w:val="24"/>
          <w:rFonts w:ascii="Times New Roman" w:hAnsi="Times New Roman"/>
        </w:rPr>
        <w:t xml:space="preserve">Ishni koʻrishda sud tomonidan quyidagi normalar buzilib, notoʻgʻri qoʻllanilgan.</w:t>
      </w:r>
    </w:p>
    <w:p>
      <w:pPr>
        <w:jc w:val="both"/>
        <w:shd w:fill="ffffff"/>
        <w:ind w:firstLine="684"/>
        <w:spacing w:after="0" w:line="240" w:lineRule="auto"/>
        <w:rPr>
          <w:color w:val="000000"/>
          <w:sz w:val="24"/>
          <w:rFonts w:ascii="Times New Roman" w:hAnsi="Times New Roman"/>
        </w:rPr>
      </w:pPr>
      <w:r>
        <w:rPr>
          <w:i w:val="false"/>
          <w:vanish w:val="false"/>
          <w:color w:val="000000"/>
          <w:sz w:val="24"/>
          <w:rFonts w:ascii="Times New Roman" w:hAnsi="Times New Roman"/>
        </w:rPr>
        <w:t xml:space="preserve">Jumladan, Ishni koʻrishda sud tomonidan qaysi normalar buzilgan yoki notoʻgʻri qoʻllanilgan talablari buzilgan.</w:t>
      </w:r>
    </w:p>
    <w:p>
      <w:pPr>
        <w:jc w:val="both"/>
        <w:shd w:fill="ffffff"/>
        <w:ind w:firstLine="684"/>
        <w:spacing w:after="0" w:line="240" w:lineRule="auto"/>
        <w:rPr>
          <w:color w:val="000000"/>
          <w:sz w:val="24"/>
          <w:rFonts w:ascii="Times New Roman" w:hAnsi="Times New Roman"/>
        </w:rPr>
      </w:pPr>
      <w:r>
        <w:rPr>
          <w:i w:val="false"/>
          <w:vanish w:val="false"/>
          <w:color w:val="000000"/>
          <w:sz w:val="24"/>
          <w:rFonts w:ascii="Times New Roman" w:hAnsi="Times New Roman"/>
        </w:rPr>
        <w:t xml:space="preserve">FPKning 383-moddasiga koʻra, taraflar va ishda ishtirok etishga jalb qilingan boshqa shaxslar, shuningdek ishda ishtirok etishga jalb qilinmagan, ammo huquq va majburiyatlari haqidagi masala sud tomonidan hal etilgan shaxslar, shuningdek O‘zbekiston Respublikasi Prezidenti huzuridagi Tadbirkorlik subyektlarining huquqlari va qonuniy manfaatlarini himoya qilish bo‘yicha vakil sudning qonuniy kuchga kirmagan hal qiluv qarori, ajrimi, qarori ustidan apellyatsiya tartibida shikoyat qilishi mumkin, bundan tadbirkorlik faoliyati bilan bog‘liq bo‘lmagan nizolar mustasno.</w:t>
      </w:r>
    </w:p>
    <w:p>
      <w:pPr>
        <w:jc w:val="both"/>
        <w:shd w:fill="ffffff"/>
        <w:ind w:firstLine="684"/>
        <w:spacing w:after="0" w:line="240" w:lineRule="auto"/>
        <w:rPr>
          <w:color w:val="000000"/>
          <w:sz w:val="24"/>
          <w:rFonts w:ascii="Times New Roman" w:hAnsi="Times New Roman"/>
        </w:rPr>
      </w:pPr>
      <w:r>
        <w:rPr>
          <w:i w:val="false"/>
          <w:vanish w:val="false"/>
          <w:color w:val="000000"/>
          <w:sz w:val="24"/>
          <w:rFonts w:ascii="Times New Roman" w:hAnsi="Times New Roman"/>
        </w:rPr>
        <w:t xml:space="preserve">Prokuror, yuqori turuvchi prokuror prokurorning ishtirokida ko‘rilgan ish bo‘yicha yoki qonunda prokurorning ishtirok etishi nazarda tutilgan bo‘lib, biroq u sud muhokamasining vaqti va joyi to‘g‘risida tegishli tarzda xabardor qilinmasdan ko‘rilgan ish bo‘yicha, shuningdek ushbu moddaning birinchi qismida ko‘rsatilgan shaxslarning murojaati mavjud bo‘lgan taqdirda birinchi instansiya sudining qonuniy kuchga kirmagan sud hujjati ustidan apellyatsiya protesti keltirishga haqli. </w:t>
      </w:r>
    </w:p>
    <w:p>
      <w:pPr>
        <w:jc w:val="both"/>
        <w:shd w:fill="ffffff"/>
        <w:ind w:firstLine="684"/>
        <w:spacing w:after="0" w:line="240" w:lineRule="auto"/>
        <w:rPr>
          <w:color w:val="000000"/>
          <w:sz w:val="24"/>
          <w:rFonts w:ascii="Times New Roman" w:hAnsi="Times New Roman"/>
        </w:rPr>
      </w:pPr>
      <w:r>
        <w:rPr>
          <w:i w:val="false"/>
          <w:vanish w:val="false"/>
          <w:color w:val="000000"/>
          <w:sz w:val="24"/>
          <w:rFonts w:ascii="Times New Roman" w:hAnsi="Times New Roman"/>
        </w:rPr>
        <w:t xml:space="preserve">FPKning </w:t>
      </w:r>
      <w:r>
        <w:rPr>
          <w:rStyle w:val="clauseprfx"/>
          <w:i w:val="false"/>
          <w:vanish w:val="false"/>
          <w:sz w:val="24"/>
          <w:rFonts w:ascii="Times New Roman" w:hAnsi="Times New Roman"/>
        </w:rPr>
        <w:t>372</w:t>
      </w:r>
      <w:r>
        <w:rPr>
          <w:rStyle w:val="clauseprfx"/>
          <w:i w:val="false"/>
          <w:vanish w:val="false"/>
          <w:sz w:val="24"/>
          <w:rFonts w:ascii="Times New Roman" w:hAnsi="Times New Roman"/>
          <w:vertAlign w:val="superscript"/>
        </w:rPr>
        <w:t>2</w:t>
      </w:r>
      <w:r>
        <w:rPr>
          <w:i w:val="false"/>
          <w:vanish w:val="false"/>
          <w:color w:val="000000"/>
          <w:sz w:val="24"/>
          <w:rFonts w:ascii="Times New Roman" w:hAnsi="Times New Roman"/>
        </w:rPr>
        <w:t xml:space="preserve">-moddasiga koʻra, sud hujjatini apellyatsiya tartibida bekor qilishga yoki oʻzgartirishga quyidagilar asos boʻladi: </w:t>
      </w:r>
    </w:p>
    <w:p>
      <w:pPr>
        <w:jc w:val="both"/>
        <w:ind w:firstLine="684"/>
        <w:spacing w:after="0"/>
        <w:rPr>
          <w:color w:val="000000"/>
          <w:sz w:val="24"/>
          <w:rFonts w:ascii="Times New Roman" w:hAnsi="Times New Roman"/>
        </w:rPr>
      </w:pPr>
      <w:r>
        <w:rPr>
          <w:i w:val="false"/>
          <w:vanish w:val="false"/>
          <w:color w:val="000000"/>
          <w:sz w:val="24"/>
          <w:rFonts w:ascii="Times New Roman" w:hAnsi="Times New Roman"/>
        </w:rPr>
        <w:t xml:space="preserve">1) ish uchun ahamiyatga ega bo‘lgan holatlarning to‘liq aniqlanmaganligi;</w:t>
      </w:r>
    </w:p>
    <w:p>
      <w:pPr>
        <w:jc w:val="both"/>
        <w:ind w:firstLine="684"/>
        <w:spacing w:after="0"/>
        <w:rPr>
          <w:color w:val="000000"/>
          <w:sz w:val="24"/>
          <w:rFonts w:ascii="Times New Roman" w:hAnsi="Times New Roman"/>
        </w:rPr>
      </w:pPr>
      <w:r>
        <w:rPr>
          <w:i w:val="false"/>
          <w:vanish w:val="false"/>
          <w:color w:val="000000"/>
          <w:sz w:val="24"/>
          <w:rFonts w:ascii="Times New Roman" w:hAnsi="Times New Roman"/>
        </w:rPr>
        <w:t xml:space="preserve">2) sud aniqlangan deb hisoblagan, ish uchun ahamiyatga ega bo‘lgan holatlarning isbotlanmaganligi;</w:t>
      </w:r>
    </w:p>
    <w:p>
      <w:pPr>
        <w:jc w:val="both"/>
        <w:ind w:firstLine="684"/>
        <w:spacing w:after="0"/>
        <w:rPr>
          <w:color w:val="000000"/>
          <w:sz w:val="24"/>
          <w:rFonts w:ascii="Times New Roman" w:hAnsi="Times New Roman"/>
        </w:rPr>
      </w:pPr>
      <w:r>
        <w:rPr>
          <w:i w:val="false"/>
          <w:vanish w:val="false"/>
          <w:color w:val="000000"/>
          <w:sz w:val="24"/>
          <w:rFonts w:ascii="Times New Roman" w:hAnsi="Times New Roman"/>
        </w:rPr>
        <w:t xml:space="preserve">3) sud hujjatida bayon etilgan sud xulosalarining ish holatlariga muvofiq emasligi;</w:t>
      </w:r>
    </w:p>
    <w:p>
      <w:pPr>
        <w:jc w:val="both"/>
        <w:ind w:firstLine="684"/>
        <w:spacing w:after="0"/>
        <w:rPr>
          <w:color w:val="000000"/>
          <w:sz w:val="24"/>
          <w:rFonts w:ascii="Times New Roman" w:hAnsi="Times New Roman"/>
        </w:rPr>
      </w:pPr>
      <w:r>
        <w:rPr>
          <w:i w:val="false"/>
          <w:vanish w:val="false"/>
          <w:color w:val="000000"/>
          <w:sz w:val="24"/>
          <w:rFonts w:ascii="Times New Roman" w:hAnsi="Times New Roman"/>
        </w:rPr>
        <w:t xml:space="preserve">4) bildirilgan talab bo‘yicha sud tomonidan sud hujjatining qabul qilinmaganligi;</w:t>
      </w:r>
    </w:p>
    <w:p>
      <w:pPr>
        <w:jc w:val="both"/>
        <w:ind w:firstLine="684"/>
        <w:spacing w:after="0"/>
        <w:rPr>
          <w:color w:val="000000"/>
          <w:sz w:val="24"/>
          <w:rFonts w:ascii="Times New Roman" w:hAnsi="Times New Roman"/>
        </w:rPr>
      </w:pPr>
      <w:r>
        <w:rPr>
          <w:i w:val="false"/>
          <w:vanish w:val="false"/>
          <w:color w:val="000000"/>
          <w:sz w:val="24"/>
          <w:rFonts w:ascii="Times New Roman" w:hAnsi="Times New Roman"/>
        </w:rPr>
        <w:t xml:space="preserve">5) moddiy va protsessual huquq normalarining buzilganligi yoki noto‘g‘ri qo‘llanilganligi.</w:t>
      </w:r>
    </w:p>
    <w:p>
      <w:pPr>
        <w:jc w:val="both"/>
        <w:shd w:fill="ffffff"/>
        <w:ind w:firstLine="684"/>
        <w:spacing w:after="0" w:line="240" w:lineRule="auto"/>
        <w:rPr>
          <w:color w:val="000000"/>
          <w:sz w:val="24"/>
          <w:rFonts w:ascii="Times New Roman" w:hAnsi="Times New Roman"/>
        </w:rPr>
      </w:pPr>
      <w:r>
        <w:rPr>
          <w:i w:val="false"/>
          <w:vanish w:val="false"/>
          <w:color w:val="000000"/>
          <w:sz w:val="24"/>
          <w:rFonts w:ascii="Times New Roman" w:hAnsi="Times New Roman"/>
        </w:rPr>
        <w:t xml:space="preserve">Mazkur holatda, sud tomonidan  ish uchun ahamiyatga ega boʻlgan holatlar toʻliq aniqlanmaganligi; sud aniqlangan deb hisoblagan, ish uchun ahamiyatga ega boʻlgan holatlarning isbotlanmaganligi; sud hujjatida bayon etilgan sud xulosalarining ish holatlariga muvofiq emasligi; bildirilgan talab bo‘yicha sud tomonidan sud hujjatining qabul qilinmaganligi; moddiy huquq normalarining yoki protsessual huquq normalarining buzilganligi yoki notoʻgʻri qoʻllanilganligi sababli hal qiluv qarorini bekor qilish (oʻzgartirish) lozim boʻladi.</w:t>
      </w:r>
    </w:p>
    <w:p>
      <w:pPr>
        <w:jc w:val="both"/>
        <w:shd w:fill="ffffff"/>
        <w:ind w:firstLine="684"/>
        <w:spacing w:after="0" w:line="240" w:lineRule="auto"/>
        <w:rPr>
          <w:color w:val="000000"/>
          <w:sz w:val="24"/>
          <w:rFonts w:ascii="Times New Roman" w:hAnsi="Times New Roman"/>
        </w:rPr>
      </w:pPr>
      <w:r>
        <w:rPr>
          <w:vanish w:val="false"/>
          <w:color w:val="000000"/>
          <w:sz w:val="24"/>
          <w:rFonts w:ascii="Times New Roman" w:hAnsi="Times New Roman"/>
        </w:rPr>
        <w:t xml:space="preserve">Bayon etilganlardan kelib chiqib, FPKning 399-moddasiga asoslanib, apellyatsiya instansiyasi sudidan </w:t>
      </w:r>
    </w:p>
    <w:p>
      <w:pPr>
        <w:jc w:val="both"/>
        <w:shd w:fill="ffffff"/>
        <w:ind w:firstLine="851"/>
        <w:spacing w:after="0" w:line="240" w:lineRule="auto"/>
        <w:rPr>
          <w:color w:val="000000"/>
          <w:sz w:val="24"/>
          <w:rFonts w:ascii="Times New Roman" w:hAnsi="Times New Roman"/>
        </w:rPr>
      </w:pPr>
      <w:r>
        <w:rPr>
          <w:vanish w:val="false"/>
          <w:sz w:val="24"/>
          <w:rFonts w:ascii="Times New Roman" w:hAnsi="Times New Roman"/>
        </w:rPr>
      </w:r>
    </w:p>
    <w:p>
      <w:pPr>
        <w:jc w:val="center"/>
        <w:shd w:fill="ffffff"/>
        <w:ind w:firstLine="851"/>
        <w:spacing w:after="0" w:line="240" w:lineRule="auto"/>
        <w:rPr>
          <w:b/>
          <w:color w:val="000000"/>
          <w:sz w:val="24"/>
          <w:rFonts w:ascii="Times New Roman" w:hAnsi="Times New Roman"/>
        </w:rPr>
      </w:pPr>
      <w:r>
        <w:rPr>
          <w:b/>
          <w:vanish w:val="false"/>
          <w:color w:val="000000"/>
          <w:sz w:val="24"/>
          <w:rFonts w:ascii="Times New Roman" w:hAnsi="Times New Roman"/>
        </w:rPr>
        <w:t>SOʻRAYMAN:</w:t>
      </w:r>
    </w:p>
    <w:p>
      <w:pPr>
        <w:jc w:val="center"/>
        <w:shd w:fill="ffffff"/>
        <w:ind w:firstLine="851"/>
        <w:spacing w:after="0" w:line="240" w:lineRule="auto"/>
        <w:rPr>
          <w:b/>
          <w:color w:val="000000"/>
          <w:sz w:val="24"/>
          <w:rFonts w:ascii="Times New Roman" w:hAnsi="Times New Roman"/>
        </w:rPr>
      </w:pPr>
      <w:r>
        <w:rPr>
          <w:vanish w:val="false"/>
          <w:sz w:val="24"/>
          <w:rFonts w:ascii="Times New Roman" w:hAnsi="Times New Roman"/>
        </w:rPr>
      </w:r>
    </w:p>
    <w:p>
      <w:pPr>
        <w:jc w:val="both"/>
        <w:shd w:fill="ffffff"/>
        <w:ind w:firstLine="684"/>
        <w:spacing w:after="0" w:line="240" w:lineRule="auto"/>
        <w:rPr>
          <w:color w:val="000000"/>
          <w:sz w:val="24"/>
          <w:rFonts w:ascii="Times New Roman" w:hAnsi="Times New Roman"/>
        </w:rPr>
      </w:pPr>
      <w:r>
        <w:rPr>
          <w:i w:val="false"/>
          <w:vanish w:val="false"/>
          <w:color w:val="000000"/>
          <w:sz w:val="24"/>
          <w:rFonts w:ascii="Times New Roman" w:hAnsi="Times New Roman"/>
        </w:rPr>
        <w:t>Fu</w:t>
      </w:r>
      <w:r>
        <w:rPr>
          <w:vanish w:val="false"/>
          <w:color w:val="000000"/>
          <w:sz w:val="24"/>
          <w:rFonts w:ascii="Times New Roman" w:hAnsi="Times New Roman"/>
        </w:rPr>
        <w:t xml:space="preserve">qarolik ishlari boʻyicha Ustidan shikoyat berilayotgan qarorni qabul qilgan sud nomi sudining Ustidan shikoyat berilayotgan qaror qabul qilingan sanadagi hal qiluv qarorini bekor qilishingizni va Appelyatsiya instansiyasiga birinchi instansiya sudi qarorini bekor qilishdan tashqari yana qanday talablar qoʻyiladini.  </w:t>
      </w:r>
    </w:p>
    <w:p>
      <w:pPr>
        <w:jc w:val="both"/>
        <w:shd w:fill="ffffff"/>
        <w:ind w:firstLine="851"/>
        <w:spacing w:after="0" w:line="240" w:lineRule="auto"/>
        <w:rPr>
          <w:color w:val="000000"/>
          <w:sz w:val="24"/>
          <w:rFonts w:ascii="Times New Roman" w:hAnsi="Times New Roman"/>
        </w:rPr>
      </w:pPr>
      <w:r>
        <w:rPr>
          <w:vanish w:val="false"/>
          <w:sz w:val="24"/>
          <w:rFonts w:ascii="Times New Roman" w:hAnsi="Times New Roman"/>
        </w:rPr>
      </w:r>
    </w:p>
    <w:p>
      <w:pPr>
        <w:jc w:val="both"/>
        <w:shd w:fill="ffffff"/>
        <w:ind w:firstLine="684"/>
        <w:spacing w:after="0" w:line="240" w:lineRule="auto"/>
        <w:rPr>
          <w:b/>
          <w:color w:val="000000"/>
          <w:sz w:val="24"/>
          <w:rFonts w:ascii="Times New Roman" w:hAnsi="Times New Roman"/>
        </w:rPr>
      </w:pPr>
      <w:r>
        <w:rPr>
          <w:b/>
          <w:vanish w:val="false"/>
          <w:color w:val="000000"/>
          <w:sz w:val="24"/>
          <w:rFonts w:ascii="Times New Roman" w:hAnsi="Times New Roman"/>
        </w:rPr>
        <w:t xml:space="preserve">ILOVA: </w:t>
      </w:r>
    </w:p>
    <w:p>
      <w:pPr>
        <w:jc w:val="both"/>
        <w:shd w:fill="ffffff"/>
        <w:ind w:firstLine="684"/>
        <w:spacing w:after="0"/>
        <w:rPr>
          <w:color w:val="000000"/>
          <w:sz w:val="24"/>
          <w:rFonts w:ascii="Times New Roman" w:hAnsi="Times New Roman"/>
        </w:rPr>
      </w:pPr>
      <w:r>
        <w:rPr>
          <w:vanish w:val="false"/>
          <w:color w:val="000000"/>
          <w:sz w:val="24"/>
          <w:rFonts w:ascii="Times New Roman" w:hAnsi="Times New Roman"/>
        </w:rPr>
        <w:t xml:space="preserve">1.Davlat boji toʻlanganligini tasdiqlovchi hujjat;</w:t>
      </w:r>
    </w:p>
    <w:p>
      <w:pPr>
        <w:jc w:val="both"/>
        <w:shd w:fill="ffffff"/>
        <w:ind w:firstLine="684"/>
        <w:spacing w:after="0"/>
        <w:rPr>
          <w:color w:val="000000"/>
          <w:sz w:val="24"/>
          <w:rFonts w:ascii="Times New Roman" w:hAnsi="Times New Roman"/>
        </w:rPr>
      </w:pPr>
      <w:r>
        <w:rPr>
          <w:vanish w:val="false"/>
          <w:color w:val="000000"/>
          <w:sz w:val="24"/>
          <w:rFonts w:ascii="Times New Roman" w:hAnsi="Times New Roman"/>
        </w:rPr>
        <w:t xml:space="preserve">2. Apellyatsiya shikoyati nusxalari.</w:t>
      </w:r>
    </w:p>
    <w:p>
      <w:pPr>
        <w:jc w:val="both"/>
        <w:shd w:fill="ffffff"/>
        <w:ind w:firstLine="684"/>
        <w:spacing w:after="0"/>
        <w:rPr>
          <w:color w:val="000000"/>
          <w:sz w:val="24"/>
          <w:rFonts w:ascii="Times New Roman" w:hAnsi="Times New Roman"/>
        </w:rPr>
      </w:pPr>
      <w:r>
        <w:rPr>
          <w:vanish w:val="false"/>
          <w:color w:val="000000"/>
          <w:sz w:val="24"/>
          <w:rFonts w:ascii="Times New Roman" w:hAnsi="Times New Roman"/>
        </w:rPr>
        <w:t xml:space="preserve">3.Apellyatsiya shikoyati vakil tomonidan imzolangan taqdirda - uni imzolashga vakilning vakolatlarini tasdiqlovchi hujjat.</w:t>
      </w:r>
    </w:p>
    <w:p>
      <w:pPr>
        <w:jc w:val="both"/>
        <w:shd w:fill="ffffff"/>
        <w:ind w:firstLine="684"/>
        <w:spacing w:after="0" w:line="240" w:lineRule="auto"/>
        <w:rPr>
          <w:color w:val="000000"/>
          <w:sz w:val="24"/>
          <w:rFonts w:ascii="Times New Roman" w:hAnsi="Times New Roman"/>
        </w:rPr>
      </w:pPr>
      <w:r>
        <w:rPr>
          <w:vanish w:val="false"/>
          <w:color w:val="000000"/>
          <w:sz w:val="24"/>
          <w:rFonts w:ascii="Times New Roman" w:hAnsi="Times New Roman"/>
        </w:rPr>
        <w:t xml:space="preserve">4. Apellyatsiya shikoyatidagi vajlarini tasdiqlovchi, ilgari sudga taqdim qilinmagan boshqa hujjatlar.</w:t>
      </w:r>
    </w:p>
    <w:p>
      <w:pPr>
        <w:jc w:val="both"/>
        <w:shd w:fill="ffffff"/>
        <w:ind w:firstLine="684"/>
        <w:spacing w:after="0" w:line="240" w:lineRule="auto"/>
        <w:rPr>
          <w:color w:val="000000"/>
          <w:sz w:val="24"/>
          <w:rFonts w:ascii="Times New Roman" w:hAnsi="Times New Roman"/>
        </w:rPr>
      </w:pPr>
      <w:r>
        <w:rPr>
          <w:vanish w:val="false"/>
          <w:color w:val="000000"/>
          <w:sz w:val="24"/>
          <w:rFonts w:ascii="Times New Roman" w:hAnsi="Times New Roman"/>
        </w:rPr>
        <w:fldChar w:fldCharType="begin"/>
        <w:instrText xml:space="preserve">X {"Y":18}</w:instrText>
        <w:fldChar w:fldCharType="separate"/>
        <w:t xml:space="preserve">Shikoyatga ilova qilinayotgan boshqa hujjatlar roʻyxati</w:t>
      </w:r>
      <w:r>
        <w:rPr>
          <w:vanish w:val="false"/>
          <w:sz w:val="24"/>
          <w:rFonts w:ascii="Times New Roman" w:hAnsi="Times New Roman"/>
        </w:rPr>
        <w:fldChar w:fldCharType="end"/>
      </w:r>
    </w:p>
    <w:p>
      <w:pPr>
        <w:jc w:val="both"/>
        <w:shd w:fill="ffffff"/>
        <w:ind w:firstLine="851"/>
        <w:spacing w:after="0" w:line="240" w:lineRule="auto"/>
        <w:rPr>
          <w:color w:val="000000"/>
          <w:sz w:val="24"/>
          <w:rFonts w:ascii="Times New Roman" w:hAnsi="Times New Roman"/>
        </w:rPr>
      </w:pPr>
      <w:r>
        <w:rPr>
          <w:vanish w:val="false"/>
          <w:sz w:val="24"/>
          <w:rFonts w:ascii="Times New Roman" w:hAnsi="Times New Roman"/>
        </w:rPr>
      </w:r>
    </w:p>
    <w:p>
      <w:pPr>
        <w:jc w:val="left"/>
        <w:shd w:fill="ffffff"/>
        <w:ind w:firstLine="684"/>
        <w:spacing w:after="0" w:line="240" w:lineRule="auto"/>
        <w:rPr>
          <w:b/>
          <w:color w:val="000000"/>
          <w:sz w:val="24"/>
          <w:rFonts w:ascii="Times New Roman" w:hAnsi="Times New Roman"/>
        </w:rPr>
      </w:pPr>
      <w:r>
        <w:rPr>
          <w:b/>
          <w:vanish w:val="false"/>
          <w:color w:val="000000"/>
          <w:sz w:val="24"/>
          <w:rFonts w:ascii="Times New Roman" w:hAnsi="Times New Roman"/>
        </w:rPr>
      </w:r>
    </w:p>
    <w:p>
      <w:pPr>
        <w:jc w:val="left"/>
        <w:shd w:fill="ffffff"/>
        <w:ind w:firstLine="114"/>
        <w:spacing w:after="0" w:line="240" w:lineRule="auto"/>
        <w:rPr>
          <w:b/>
          <w:color w:val="000000"/>
          <w:sz w:val="24"/>
          <w:rFonts w:ascii="Times New Roman" w:hAnsi="Times New Roman"/>
        </w:rPr>
      </w:pPr>
      <w:r>
        <w:rPr>
          <w:b/>
          <w:vanish w:val="false"/>
          <w:color w:val="000000"/>
          <w:sz w:val="24"/>
          <w:rFonts w:ascii="Times New Roman" w:hAnsi="Times New Roman"/>
        </w:rPr>
        <w:t xml:space="preserve">Daʼvogar Shikoyat beruvchining F.I.O.si _______________</w:t>
      </w:r>
    </w:p>
    <w:p>
      <w:pPr>
        <w:jc w:val="right"/>
        <w:spacing w:after="0" w:line="240" w:lineRule="auto"/>
        <w:rPr>
          <w:sz w:val="24"/>
          <w:rFonts w:ascii="Times New Roman" w:hAnsi="Times New Roman"/>
        </w:rPr>
      </w:pPr>
      <w:r>
        <w:rPr>
          <w:vanish w:val="false"/>
          <w:sz w:val="24"/>
          <w:rFonts w:ascii="Times New Roman" w:hAnsi="Times New Roman"/>
        </w:rPr>
      </w:r>
    </w:p>
    <w:p>
      <w:pPr>
        <w:jc w:val="right"/>
        <w:spacing w:after="0" w:line="240" w:lineRule="auto"/>
        <w:rPr>
          <w:sz w:val="24"/>
          <w:rFonts w:ascii="Times New Roman" w:hAnsi="Times New Roman"/>
        </w:rPr>
      </w:pPr>
      <w:r>
        <w:rPr>
          <w:vanish w:val="false"/>
          <w:sz w:val="24"/>
          <w:rFonts w:ascii="Times New Roman" w:hAnsi="Times New Roman"/>
        </w:rPr>
        <w:fldChar w:fldCharType="begin"/>
        <w:instrText xml:space="preserve">X {"Y":3}</w:instrText>
        <w:fldChar w:fldCharType="separate"/>
        <w:t xml:space="preserve">Shikoyat berilgan sana</w:t>
      </w:r>
      <w:r>
        <w:rPr>
          <w:vanish w:val="false"/>
          <w:sz w:val="24"/>
          <w:rFonts w:ascii="Times New Roman" w:hAnsi="Times New Roman"/>
        </w:rPr>
        <w:fldChar w:fldCharType="end"/>
      </w:r>
      <w:r>
        <w:rPr>
          <w:vanish w:val="false"/>
          <w:sz w:val="24"/>
          <w:rFonts w:ascii="Times New Roman" w:hAnsi="Times New Roman"/>
        </w:rPr>
        <w:t xml:space="preserve"> </w:t>
      </w: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44A"/>
    <w:rsid w:val="00095661"/>
    <w:rsid w:val="00184967"/>
    <w:rsid w:val="001D4ACE"/>
    <w:rsid w:val="001E2EB3"/>
    <w:rsid w:val="001F00F9"/>
    <w:rsid w:val="003A0758"/>
    <w:rsid w:val="00403F62"/>
    <w:rsid w:val="00430C9A"/>
    <w:rsid w:val="00447375"/>
    <w:rsid w:val="004F3720"/>
    <w:rsid w:val="0054589F"/>
    <w:rsid w:val="00545A41"/>
    <w:rsid w:val="00627671"/>
    <w:rsid w:val="00640C5A"/>
    <w:rsid w:val="006929CD"/>
    <w:rsid w:val="0071244A"/>
    <w:rsid w:val="00785B2E"/>
    <w:rsid w:val="008343EC"/>
    <w:rsid w:val="00880890"/>
    <w:rsid w:val="008F0032"/>
    <w:rsid w:val="008F4BA9"/>
    <w:rsid w:val="0091067A"/>
    <w:rsid w:val="00A51151"/>
    <w:rsid w:val="00B64C7F"/>
    <w:rsid w:val="00C16A5A"/>
    <w:rsid w:val="00C82C43"/>
    <w:rsid w:val="00C92859"/>
    <w:rsid w:val="00D5153C"/>
    <w:rsid w:val="00DA7E09"/>
    <w:rsid w:val="00E275F4"/>
    <w:rsid w:val="00EA45BA"/>
    <w:rsid w:val="00EA6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5AE22"/>
  <w15:docId w15:val="{66F1CCAF-F5DF-4B93-8EB0-5E76427D6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E2EB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D5153C"/>
    <w:rPr>
      <w:color w:val="0000FF"/>
      <w:u w:val="single"/>
    </w:rPr>
  </w:style>
  <w:style w:type="character" w:customStyle="1" w:styleId="clauseprfx1">
    <w:name w:val="clauseprfx1"/>
    <w:basedOn w:val="a0"/>
    <w:rsid w:val="00430C9A"/>
    <w:rPr>
      <w:vanish w:val="0"/>
      <w:webHidden w:val="0"/>
      <w:specVanish w:val="0"/>
    </w:rPr>
  </w:style>
  <w:style w:type="character" w:customStyle="1" w:styleId="clausesuff1">
    <w:name w:val="clausesuff1"/>
    <w:basedOn w:val="a0"/>
    <w:rsid w:val="00430C9A"/>
    <w:rPr>
      <w:vanish w:val="0"/>
      <w:webHidden w:val="0"/>
      <w:specVanish w:val="0"/>
    </w:rPr>
  </w:style>
  <w:style w:type="table" w:styleId="a4">
    <w:name w:val="Table Grid"/>
    <w:basedOn w:val="a1"/>
    <w:uiPriority w:val="59"/>
    <w:rsid w:val="000956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lauseprfx">
    <w:name w:val="clauseprfx"/>
    <w:basedOn w:val="a0"/>
    <w:rsid w:val="00B64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722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2021-04-21T14:05:00Z</dcterms:created>
  <dcterms:modified xsi:type="dcterms:W3CDTF">2021-04-21T14:05:00Z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Shikoyat rekvizitlari</w:name>
    <w:value w:hidden="true">
      <w:unit w:active="false"/>
    </w:value>
  </w:element>
  <w:element w:id="2" w:kind="variable" w:selector="check" w:type="string" w:valueMode="normal" w:required="false" w:groupID="1">
    <w:identifier xml:space="preserve">ID2</w:identifier>
    <w:name xml:space="preserve">Appelyatsiya shikoyati berilgan sud nomi</w:name>
    <w:value w:hidden="false">
      <w:unit w:active="false"/>
      <w:binding w:dataSource="1" w:column="court_name" w:search="false"/>
    </w:value>
  </w:element>
  <w:element w:id="3" w:kind="variable" w:selector="check" w:type="string" w:valueMode="normal" w:required="false" w:groupID="1">
    <w:identifier xml:space="preserve">ID3</w:identifier>
    <w:name xml:space="preserve">Shikoyat berilgan sana</w:name>
    <w:value w:hidden="false">
      <w:unit w:active="false"/>
    </w:value>
  </w:element>
  <w:element w:id="4" w:kind="category" w:selector="check" w:type="string" w:valueMode="normal" w:required="false">
    <w:identifier xml:space="preserve">ID4</w:identifier>
    <w:name xml:space="preserve">Shikoyat beruvchi</w:name>
    <w:value w:hidden="true">
      <w:unit w:active="false"/>
    </w:value>
  </w:element>
  <w:element w:id="5" w:kind="variable" w:selector="check" w:type="string" w:valueMode="normal" w:required="false" w:groupID="4">
    <w:identifier xml:space="preserve">ID5</w:identifier>
    <w:name xml:space="preserve">Shikoyat beruvchining F.I.O.si</w:name>
    <w:value w:hidden="false">
      <w:unit w:active="false"/>
    </w:value>
  </w:element>
  <w:element w:id="6" w:kind="variable" w:selector="check" w:type="string" w:valueMode="normal" w:required="false" w:groupID="4">
    <w:identifier xml:space="preserve">ID6</w:identifier>
    <w:name xml:space="preserve">Shikoyat beruvchining manzili</w:name>
    <w:comment xml:space="preserve">(viloyat, tuman (shahar), MFY, koʻcha nomi va uy raqami yoziladi)</w:comment>
    <w:value w:hidden="false">
      <w:unit w:active="false"/>
    </w:value>
  </w:element>
  <w:element w:id="7" w:kind="variable" w:selector="check" w:type="string" w:valueMode="normal" w:required="false" w:groupID="4">
    <w:identifier xml:space="preserve">ID7</w:identifier>
    <w:name xml:space="preserve">Shikoyat beruvchining telefon raqami</w:name>
    <w:value w:hidden="false">
      <w:unit w:active="false"/>
    </w:value>
  </w:element>
  <w:element w:id="8" w:kind="category" w:selector="check" w:type="string" w:valueMode="normal" w:required="false">
    <w:identifier xml:space="preserve">ID8</w:identifier>
    <w:name xml:space="preserve">Shikoyat mazmuni</w:name>
    <w:value w:hidden="true">
      <w:unit w:active="false"/>
    </w:value>
  </w:element>
  <w:element w:id="9" w:kind="variable" w:selector="check" w:type="string" w:valueMode="normal" w:required="false" w:groupID="8">
    <w:identifier xml:space="preserve">ID9</w:identifier>
    <w:name xml:space="preserve">Ustidan shikoyat berilayotgan qarorni qabul qilgan sud nomi</w:name>
    <w:value w:hidden="false">
      <w:unit w:active="false"/>
    </w:value>
  </w:element>
  <w:element w:id="10" w:kind="variable" w:selector="check" w:type="date" w:valueMode="normal" w:required="false" w:groupID="8">
    <w:identifier xml:space="preserve">ID10</w:identifier>
    <w:name xml:space="preserve">Ustidan shikoyat berilayotgan qaror qabul qilingan sana</w:name>
    <w:value w:hidden="false">
      <w:unit w:active="false"/>
    </w:value>
  </w:element>
  <w:element w:id="11" w:kind="variable" w:selector="check" w:type="string" w:valueMode="normal" w:required="false" w:groupID="8">
    <w:identifier xml:space="preserve">ID11</w:identifier>
    <w:name xml:space="preserve">Даъво аризада баён қилинган иш ҳолатлари</w:name>
    <w:comment xml:space="preserve">(daʼvo arizasining qisqacha mazmuni yoziladi)</w:comment>
    <w:value w:hidden="false">
      <w:unit w:active="false"/>
    </w:value>
  </w:element>
  <w:element w:id="12" w:kind="variable" w:selector="check" w:type="string" w:valueMode="normal" w:required="false" w:groupID="8">
    <w:identifier xml:space="preserve">ID12</w:identifier>
    <w:name xml:space="preserve">Daʼvogarning daʼvo talabi</w:name>
    <w:value w:hidden="false">
      <w:unit w:active="false"/>
    </w:value>
  </w:element>
  <w:element w:id="13" w:kind="variable" w:selector="check" w:type="string" w:valueMode="normal" w:required="false" w:groupID="8">
    <w:identifier xml:space="preserve">ID13</w:identifier>
    <w:name xml:space="preserve">Daʼvo arizaga asos sifatida koʻrsatilgan holatlar</w:name>
    <w:comment xml:space="preserve">(asos sifatida koʻrsatilgan holatlar batafsil bayon qilinishi lozim)</w:comment>
    <w:value w:hidden="false">
      <w:unit w:active="false"/>
    </w:value>
  </w:element>
  <w:element w:id="14" w:kind="variable" w:selector="check" w:type="string" w:valueMode="normal" w:required="false" w:groupID="8">
    <w:identifier xml:space="preserve">ID14</w:identifier>
    <w:name xml:space="preserve">Daʼvogarning fikricha uning vajlarini sud majlisida isbotlagan dalillar</w:name>
    <w:value w:hidden="false">
      <w:unit w:active="false"/>
    </w:value>
  </w:element>
  <w:element w:id="15" w:kind="variable" w:selector="check" w:type="string" w:valueMode="normal" w:required="false" w:groupID="8">
    <w:identifier xml:space="preserve">ID15</w:identifier>
    <w:name xml:space="preserve">Daʼvogarning fikricha sud inobatga olmagan holatlar</w:name>
    <w:value w:hidden="false">
      <w:unit w:active="false"/>
    </w:value>
  </w:element>
  <w:element w:id="16" w:kind="variable" w:selector="check" w:type="string" w:valueMode="normal" w:required="false" w:groupID="8">
    <w:identifier xml:space="preserve">ID16</w:identifier>
    <w:name xml:space="preserve">Daʼvogarning fikricha sud inobatga olmagan holatlar</w:name>
    <w:comment xml:space="preserve">(qaysi normalarning qanday talablari buzilganligi batafsil yoziladi)</w:comment>
    <w:value w:hidden="false">
      <w:unit w:active="false"/>
    </w:value>
  </w:element>
  <w:element w:id="17" w:kind="variable" w:selector="check" w:type="string" w:valueMode="normal" w:required="false" w:groupID="8">
    <w:identifier xml:space="preserve">ID17</w:identifier>
    <w:name xml:space="preserve">Appelyatsiya instansiyasiga birinchi instansiya sudi qarorini bekor qilishdan tashqari yana qanday talablar qoʻyiladi</w:name>
    <w:comment xml:space="preserve">(masalan yangi hal qiluv qarori chiqarish,  arizani koʻrmasdan qoldirish yoxud ish yuritishni tugatish toʻgʻrisida yangi qaror qabul qilish yoki boshqa)</w:comment>
    <w:value w:hidden="false">
      <w:unit w:active="false"/>
    </w:value>
  </w:element>
  <w:element w:id="18" w:kind="variable" w:selector="check" w:type="string" w:valueMode="normal" w:required="false" w:groupID="8">
    <w:identifier xml:space="preserve">ID18</w:identifier>
    <w:name xml:space="preserve">Shikoyatga ilova qilinayotgan boshqa hujjatlar roʻyxati</w:name>
    <w:comment xml:space="preserve">(ilovada koʻrsatilganlardan boshqa hujjatlar nomi yoziladi)</w:comment>
    <w:value w:hidden="false">
      <w:unit w:active="false"/>
    </w:value>
  </w:element>
</w:structure>
</file>