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ind w:left="3022" w:firstLine="0"/>
        <w:spacing w:after="0" w:line="339" w:lineRule="auto"/>
        <w:rPr>
          <w:b/>
          <w:sz w:val="24"/>
        </w:rPr>
      </w:pPr>
    </w:p>
    <w:p>
      <w:pPr>
        <w:jc w:val="center"/>
        <w:ind w:left="3022" w:firstLine="0"/>
        <w:spacing w:after="0" w:line="339" w:lineRule="auto"/>
        <w:rPr>
          <w:b/>
          <w:sz w:val="24"/>
        </w:rPr>
      </w:pPr>
    </w:p>
    <w:p>
      <w:pPr>
        <w:jc w:val="center"/>
        <w:ind w:left="-4" w:right="41"/>
        <w:spacing w:after="114" w:line="259" w:lineRule="auto"/>
        <w:rPr>
          <w:b/>
          <w:sz w:val="24"/>
        </w:rPr>
      </w:pPr>
      <w:r>
        <w:rPr>
          <w:b/>
          <w:sz w:val="24"/>
        </w:rPr>
        <w:t xml:space="preserve">BAXTSIZ HODISALARDAN JAMOVIY SUG‘URTA QILISH SHARTNOMASI</w:t>
      </w:r>
    </w:p>
    <w:p>
      <w:pPr>
        <w:pStyle w:val="a8"/>
        <w:jc w:val="center"/>
        <w:ind w:firstLine="29"/>
        <w:spacing w:before="15" w:beforeAutoSpacing="false" w:after="15" w:afterAutoSpacing="false"/>
        <w:rPr>
          <w:rStyle w:val="structures"/>
          <w:color w:val="000000"/>
          <w:sz w:val="28"/>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jc w:val="center"/>
        <w:ind w:left="-4" w:right="41"/>
        <w:spacing w:after="114" w:line="259" w:lineRule="auto"/>
        <w:rPr>
          <w:b/>
          <w:sz w:val="24"/>
        </w:rPr>
      </w:pPr>
    </w:p>
    <w:p>
      <w:pPr>
        <w:ind w:left="-4" w:right="41"/>
        <w:spacing w:after="0" w:line="259" w:lineRule="auto"/>
        <w:rPr>
          <w:sz w:val="24"/>
        </w:rPr>
      </w:pPr>
      <w:r>
        <w:rPr>
          <w:sz w:val="24"/>
        </w:rPr>
        <w:tab/>
        <w:tab/>
        <w:tab/>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Sugʻurta kompaniyasining nomi</w:t>
        <w:fldChar w:fldCharType="end"/>
      </w:r>
      <w:r>
        <w:rPr>
          <w:sz w:val="24"/>
        </w:rPr>
        <w:t xml:space="preserve"> </w:t>
      </w:r>
      <w:r>
        <w:rPr>
          <w:b/>
          <w:sz w:val="24"/>
        </w:rPr>
        <w:t xml:space="preserve">Sugʻurta kompaniyasi</w:t>
      </w:r>
      <w:r>
        <w:rPr>
          <w:sz w:val="24"/>
        </w:rPr>
        <w:t xml:space="preserve">, keyingi oʻrinlarda </w:t>
      </w:r>
      <w:r>
        <w:rPr>
          <w:b/>
          <w:sz w:val="24"/>
        </w:rPr>
        <w:t>Sugʻurtalovchi</w:t>
      </w:r>
      <w:r>
        <w:rPr>
          <w:sz w:val="24"/>
        </w:rPr>
        <w:t xml:space="preserve"> deb nomlanuvchi,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Sugʻurta kompaniyasiga shartnoma tuzish huquqini beruvchi hujjat</w:t>
        <w:fldChar w:fldCharType="end"/>
      </w:r>
      <w:r>
        <w:rPr>
          <w:sz w:val="24"/>
        </w:rPr>
        <w:t xml:space="preserve"> asosida faoliyat yurituvchi rahbari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Sugʻurta kompaniyasi rahbari F.I.O</w:t>
        <w:fldChar w:fldCharType="end"/>
      </w:r>
      <w:r>
        <w:rPr>
          <w:sz w:val="24"/>
        </w:rPr>
        <w:t xml:space="preserve"> bir tomondan va 7</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Sugʻurta qildiruvchi tashkilotning nomi</w:t>
        <w:fldChar w:fldCharType="end"/>
      </w:r>
      <w:r>
        <w:rPr>
          <w:sz w:val="24"/>
        </w:rPr>
        <w:t xml:space="preserve"> keyingi oʻrinlarda </w:t>
      </w:r>
      <w:r>
        <w:rPr>
          <w:b/>
          <w:sz w:val="24"/>
        </w:rPr>
        <w:t xml:space="preserve">Sugʻurta qildiruvchi</w:t>
      </w:r>
      <w:r>
        <w:rPr>
          <w:sz w:val="24"/>
        </w:rPr>
        <w:t xml:space="preserve"> deb nomlanuvchi,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Sug‘urta qildiruvchiga shartnoma tuzish huquqini beruvchi hujjat</w:t>
        <w:fldChar w:fldCharType="end"/>
      </w:r>
      <w:r>
        <w:rPr>
          <w:sz w:val="24"/>
        </w:rPr>
        <w:t xml:space="preserve"> asosida ish yurituvchi rahbari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Sug‘urta qildiruvchi tashkilot rahbarining F.I.O</w:t>
        <w:fldChar w:fldCharType="end"/>
      </w:r>
      <w:r>
        <w:rPr>
          <w:sz w:val="24"/>
        </w:rPr>
        <w:t xml:space="preserve"> ikkinchi tomondan, keyingi oʻrinlarda </w:t>
      </w:r>
      <w:r>
        <w:rPr>
          <w:b/>
          <w:sz w:val="24"/>
        </w:rPr>
        <w:t>Tomonlar</w:t>
      </w:r>
      <w:r>
        <w:rPr>
          <w:sz w:val="24"/>
        </w:rPr>
        <w:t xml:space="preserve"> ushbu Shartnomani tuzdilar:  </w:t>
      </w:r>
    </w:p>
    <w:p>
      <w:pPr>
        <w:pStyle w:val="2"/>
        <w:numPr>
          <w:numId w:val="7"/>
          <w:ilvl w:val="0"/>
        </w:numPr>
        <w:jc w:val="center"/>
        <w:spacing w:after="0"/>
        <w:rPr>
          <w:sz w:val="24"/>
          <w:rFonts w:ascii="Times New Roman" w:hAnsi="Times New Roman"/>
        </w:rPr>
      </w:pPr>
      <w:r>
        <w:rPr>
          <w:sz w:val="24"/>
        </w:rPr>
        <w:t xml:space="preserve">SHARTNOMA PREDMETI</w:t>
      </w:r>
    </w:p>
    <w:p/>
    <w:p>
      <w:pPr>
        <w:ind w:left="-4" w:right="41"/>
        <w:spacing w:after="0" w:line="342" w:lineRule="auto"/>
        <w:rPr>
          <w:sz w:val="24"/>
        </w:rPr>
      </w:pPr>
      <w:r>
        <w:rPr>
          <w:sz w:val="24"/>
        </w:rPr>
        <w:tab/>
        <w:tab/>
        <w:tab/>
        <w:t xml:space="preserve">1. Baxtsiz hodisalardan sugʻurta qilish Qoidalari (keyinchalik – “sugʻurta Qoidalari”) hamda ushbu sugʻurta Shartnomasida koʻzda tutilgan shartlar, istisno va ilovalarga muvofiq, Sugʻurtalovchi Shartnomada koʻrsatilgan sugʻurta hodisasi yuz bergan taqdirda, Sugʻurtalangan shaxsga (Naf oluvchiga) Shartnomada kelishilgan sugʻurta summasi doirasida sugʻurta tovonini toʻlab berish (taʼminlash) majburiyatini oladi. </w:t>
      </w:r>
    </w:p>
    <w:p>
      <w:pPr>
        <w:ind w:right="41" w:firstLine="0"/>
        <w:spacing w:after="0"/>
        <w:rPr>
          <w:sz w:val="24"/>
        </w:rPr>
      </w:pPr>
      <w:r>
        <w:rPr>
          <w:sz w:val="24"/>
        </w:rPr>
        <w:tab/>
        <w:t xml:space="preserve">2. Ushbu Shartnomaga koʻra Sugʻurta qildiruvchining ishchilari, keyingi oʻrinlarda Sugʻurtalangan shaxslar deb nomlanuvchilar, Shartnomaning 3-boʻlimida keltirilgan xavflardan sugʻurtalanadi. Ushbu shartnoma boʻyicha sugʻurtalangan shaxs boʻlib, sugʻurtalangan shaxslar roʻyxatida koʻrsatilib oʻtilgan, uning mulkiy manfaatlariga nisbatan Sugʻurta qildiruvchi Sugʻurtalovchi bilan Shartnoma tuzgan, Sugʻurta qildiruvchining ishchisi boʻlgan jismoniy shaxs hisoblanadi.  </w:t>
      </w:r>
    </w:p>
    <w:p>
      <w:pPr>
        <w:pStyle w:val="2"/>
        <w:jc w:val="center"/>
        <w:ind w:left="-5"/>
        <w:spacing w:after="0"/>
        <w:rPr>
          <w:sz w:val="24"/>
          <w:rFonts w:ascii="Times New Roman" w:hAnsi="Times New Roman"/>
        </w:rPr>
      </w:pPr>
      <w:r>
        <w:rPr>
          <w:sz w:val="24"/>
        </w:rPr>
        <w:t xml:space="preserve">2. SUGʻURTA OBYEKTLARI VA SUBYEKTLARI</w:t>
      </w:r>
    </w:p>
    <w:p/>
    <w:p>
      <w:pPr>
        <w:ind w:left="-4" w:right="41"/>
        <w:spacing w:after="0"/>
        <w:rPr>
          <w:sz w:val="24"/>
        </w:rPr>
      </w:pPr>
      <w:r>
        <w:rPr>
          <w:sz w:val="24"/>
        </w:rPr>
        <w:t xml:space="preserve">2.1. Sugʻurta obyekti boʻlib, Sugʻurtalangan shaxsning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Sug‘urta qilinayotgan shaxsning sug‘urta obyektlari nomi</w:t>
        <w:fldChar w:fldCharType="end"/>
      </w:r>
      <w:r>
        <w:rPr>
          <w:sz w:val="24"/>
        </w:rPr>
        <w:t xml:space="preserve"> va uning hayotida Shartnomada koʻzda tutilgan sugʻurta hodisasining yuz berishi bilan bogʻliq mulkiy manfaatlari hisoblanadi. </w:t>
      </w:r>
    </w:p>
    <w:p>
      <w:pPr>
        <w:ind w:left="-4" w:right="41"/>
        <w:spacing w:after="0"/>
        <w:rPr>
          <w:sz w:val="24"/>
        </w:rPr>
      </w:pPr>
      <w:r>
        <w:rPr>
          <w:sz w:val="24"/>
        </w:rPr>
        <w:t xml:space="preserve">2.2. Sugʻurta subyektlari boʻlib, Sugʻurtalovchi va Shartnomada Sugʻurta qildiruvchi, Sugʻurtalangan shaxs va Naf oluvchi sifatida koʻrsatilgan shaxslar hisoblanadi. </w:t>
      </w:r>
    </w:p>
    <w:p>
      <w:pPr>
        <w:pStyle w:val="2"/>
        <w:jc w:val="center"/>
        <w:ind w:left="-5"/>
        <w:spacing w:after="0"/>
        <w:rPr>
          <w:sz w:val="24"/>
          <w:rFonts w:ascii="Times New Roman" w:hAnsi="Times New Roman"/>
        </w:rPr>
      </w:pPr>
      <w:r>
        <w:rPr>
          <w:sz w:val="24"/>
        </w:rPr>
        <w:t xml:space="preserve">3. SUGʻURTA HODISALARI</w:t>
      </w:r>
    </w:p>
    <w:p>
      <w:pPr>
        <w:ind w:left="-4" w:right="41"/>
        <w:spacing w:after="0" w:line="259" w:lineRule="auto"/>
        <w:rPr>
          <w:sz w:val="24"/>
        </w:rPr>
      </w:pPr>
      <w:r>
        <w:rPr>
          <w:sz w:val="24"/>
        </w:rPr>
        <w:t xml:space="preserve">3.1. Ushbu Shartnoma boʻyicha quyidagilar sugʻurta hodisalari hisoblanadi: </w:t>
      </w:r>
    </w:p>
    <w:p>
      <w:pPr>
        <w:ind w:left="-4" w:right="41"/>
        <w:spacing w:after="0" w:line="259" w:lineRule="auto"/>
        <w:rPr>
          <w:sz w:val="24"/>
        </w:rPr>
      </w:pP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Ushbu shartnoma bo‘yicha sug‘urta hodisalari nomi</w:t>
        <w:fldChar w:fldCharType="end"/>
      </w:r>
    </w:p>
    <w:p>
      <w:pPr>
        <w:ind w:left="-4" w:right="41"/>
        <w:spacing w:after="0" w:line="259" w:lineRule="auto"/>
        <w:rPr>
          <w:sz w:val="24"/>
        </w:rPr>
      </w:pPr>
    </w:p>
    <w:p>
      <w:pPr>
        <w:pStyle w:val="2"/>
        <w:jc w:val="center"/>
        <w:ind w:left="-5"/>
        <w:spacing w:after="0"/>
        <w:rPr>
          <w:sz w:val="24"/>
          <w:rFonts w:ascii="Times New Roman" w:hAnsi="Times New Roman"/>
        </w:rPr>
      </w:pPr>
      <w:r>
        <w:rPr>
          <w:sz w:val="24"/>
        </w:rPr>
        <w:t xml:space="preserve">4. SUGʻURTA SUMMASI </w:t>
      </w:r>
    </w:p>
    <w:p/>
    <w:p>
      <w:pPr>
        <w:jc w:val="left"/>
        <w:ind w:left="-5"/>
        <w:spacing w:after="0" w:line="338" w:lineRule="auto"/>
        <w:rPr>
          <w:sz w:val="24"/>
        </w:rPr>
      </w:pPr>
      <w:r>
        <w:rPr>
          <w:sz w:val="24"/>
        </w:rPr>
        <w:t xml:space="preserve">4.1. Ushbu Shartnomaga koʻra bitta Sugʻurtalangan shaxs uchun sugʻurta summasi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Sug‘urtalangan shaxs uchun sug‘urta summasi miqdori</w:t>
        <w:fldChar w:fldCharType="end"/>
      </w:r>
      <w:r>
        <w:rPr>
          <w:sz w:val="24"/>
        </w:rPr>
        <w:t xml:space="preserve"> soʻm miqdorida belgilanadi.  </w:t>
      </w:r>
    </w:p>
    <w:p>
      <w:pPr>
        <w:ind w:left="-4" w:right="41"/>
        <w:spacing w:after="0"/>
        <w:rPr>
          <w:sz w:val="24"/>
        </w:rPr>
      </w:pPr>
      <w:r>
        <w:rPr>
          <w:sz w:val="24"/>
        </w:rPr>
        <w:t xml:space="preserve">Ushbu summa Sugʻurtalovchining ushbu Shartnomada koʻzda tutilgan va Shartnoma amal qilish davrida yuz bergan barcha sugʻurta hodisalari boʻyicha yagona javobgarlik limiti hisoblanadi. </w:t>
      </w:r>
    </w:p>
    <w:p>
      <w:pPr>
        <w:pStyle w:val="2"/>
        <w:jc w:val="center"/>
        <w:ind w:left="-5"/>
        <w:spacing w:after="0"/>
        <w:rPr>
          <w:sz w:val="24"/>
          <w:rFonts w:ascii="Times New Roman" w:hAnsi="Times New Roman"/>
        </w:rPr>
      </w:pPr>
      <w:r>
        <w:rPr>
          <w:sz w:val="24"/>
        </w:rPr>
        <w:t xml:space="preserve">5. SHARTNOMANING KUCHGA KIRISHI VA UNING AMAL QILISH MUDDATI. SUGʻURTA SHARTNOMASINI TUGATILISH TARTIBI</w:t>
      </w:r>
    </w:p>
    <w:p/>
    <w:p>
      <w:pPr>
        <w:ind w:left="-4" w:right="41"/>
        <w:spacing w:after="0" w:line="344" w:lineRule="auto"/>
        <w:rPr>
          <w:sz w:val="24"/>
        </w:rPr>
      </w:pPr>
      <w:r>
        <w:rPr>
          <w:sz w:val="24"/>
        </w:rPr>
        <w:t xml:space="preserve">5.1. Ushbu Shartnoma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Shartnomaning amal qilish muddati</w:t>
        <w:fldChar w:fldCharType="end"/>
      </w:r>
      <w:r>
        <w:rPr>
          <w:sz w:val="24"/>
        </w:rPr>
        <w:t xml:space="preserve"> yil muddatga tuzilgan. Shartnoma Tomonlarning maxsus vakolatga ega boʻlgan shaxslari imzolagan kundan kuchga kiradi. Sugʻurtalovchining sugʻurta tovonini toʻlash boʻyicha javobgarligi sugʻurta mukofoti (yoki uning birinchi qismi) Sugʻurtalovchi bank hisob raqamiga kelib tushgan yoki sugʻurta mukofoti (yoki uning birinchi qismi) Sugʻurtalovchi kassasiga naqd pul koʻrinishida toʻlangan sanadan eʼtiboran kuchga kiradi. </w:t>
      </w:r>
    </w:p>
    <w:p>
      <w:pPr>
        <w:pStyle w:val="2"/>
        <w:jc w:val="center"/>
        <w:ind w:left="-5"/>
        <w:spacing w:after="0"/>
        <w:rPr>
          <w:sz w:val="24"/>
          <w:rFonts w:ascii="Times New Roman" w:hAnsi="Times New Roman"/>
        </w:rPr>
      </w:pPr>
      <w:r>
        <w:rPr>
          <w:sz w:val="24"/>
        </w:rPr>
        <w:t xml:space="preserve">6. SUGʻURTA TOVONI VA UNI TOʻLASH TARTIBI</w:t>
      </w:r>
    </w:p>
    <w:p/>
    <w:p>
      <w:pPr>
        <w:ind w:left="-4" w:right="41"/>
        <w:spacing w:after="0" w:line="344" w:lineRule="auto"/>
        <w:rPr>
          <w:sz w:val="24"/>
        </w:rPr>
      </w:pPr>
      <w:r>
        <w:rPr>
          <w:sz w:val="24"/>
        </w:rPr>
        <w:t xml:space="preserve">6.1. Sugʻurta tovoni Sugʻurtalovchi tomonidan Sugʻurtalangan shaxsga yoki uning merosxoʻriga Sugʻurta qildiruvchi sugʻurta mukofotini toʻliq va oʻz vaqtida toʻlagandagina toʻlab beriladi. Agar Sugʻurta qildiruvchi sugʻurta hodisasi sodir boʻlgunga qadar, Shartnomada koʻrsatilgan sugʻurta mukofotining faqatgina bir qismini toʻlagan boʻlsa, u holda Sugʻurtalovchi sugʻurta hodisasi yuz bergan vaqtda sugʻurta summasining miqdorini sugʻurta mukofotining toʻlangan qismiga mutanosib ravishda cheklaydi.     </w:t>
      </w:r>
    </w:p>
    <w:p>
      <w:pPr>
        <w:ind w:left="-4" w:right="41"/>
        <w:spacing w:after="0" w:line="259" w:lineRule="auto"/>
        <w:rPr>
          <w:sz w:val="24"/>
        </w:rPr>
      </w:pPr>
      <w:r>
        <w:rPr>
          <w:sz w:val="24"/>
        </w:rPr>
        <w:t xml:space="preserve">6.2. Sugʻurta hodisasi yuz berganda sugʻurta tovonini olish uchun Sugʻurtalovchiga quyidagi hujjatlar taqdim etilishi kerak: </w:t>
      </w:r>
    </w:p>
    <w:p>
      <w:pPr>
        <w:numPr>
          <w:numId w:val="4"/>
          <w:ilvl w:val="0"/>
        </w:numPr>
        <w:ind w:right="41" w:hanging="360"/>
        <w:spacing w:after="0" w:line="259" w:lineRule="auto"/>
        <w:rPr>
          <w:sz w:val="24"/>
          <w:rFonts w:ascii="Times New Roman" w:hAnsi="Times New Roman"/>
        </w:rPr>
      </w:pPr>
      <w:r>
        <w:rPr>
          <w:sz w:val="24"/>
        </w:rPr>
        <w:t xml:space="preserve">oʻrnatilgan shakldagi ariza; </w:t>
      </w:r>
    </w:p>
    <w:p>
      <w:pPr>
        <w:numPr>
          <w:numId w:val="4"/>
          <w:ilvl w:val="0"/>
        </w:numPr>
        <w:ind w:right="41" w:hanging="360"/>
        <w:spacing w:after="0"/>
        <w:rPr>
          <w:sz w:val="24"/>
          <w:rFonts w:ascii="Times New Roman" w:hAnsi="Times New Roman"/>
        </w:rPr>
      </w:pPr>
      <w:r>
        <w:rPr>
          <w:sz w:val="24"/>
        </w:rPr>
        <w:t xml:space="preserve">baxtsiz hodisa yuz bergan vaqtdan eʼtiboran 3 (uch) taqvim kuni ichida berilgan, shuningdek, sugʻurta hodisasining sanasini tasdiqlovchi tibbiy hujjatlar (kasallik varaqasining nusxasi, davolanishning davomiyligi haqida maʼlumotnoma, Tibbiy mehnat ekspert kmissiyasi xulosasining nusxasi;</w:t>
      </w:r>
    </w:p>
    <w:p>
      <w:pPr>
        <w:numPr>
          <w:numId w:val="4"/>
          <w:ilvl w:val="0"/>
        </w:numPr>
        <w:ind w:right="41" w:hanging="360"/>
        <w:spacing w:after="0"/>
        <w:rPr>
          <w:sz w:val="24"/>
          <w:rFonts w:ascii="Times New Roman" w:hAnsi="Times New Roman"/>
        </w:rPr>
      </w:pPr>
      <w:r>
        <w:rPr>
          <w:sz w:val="24"/>
        </w:rPr>
        <w:t xml:space="preserve">oʻlim toʻgʻrisidagi guvohnoma); </w:t>
      </w:r>
    </w:p>
    <w:p>
      <w:pPr>
        <w:numPr>
          <w:numId w:val="4"/>
          <w:ilvl w:val="0"/>
        </w:numPr>
        <w:ind w:right="41" w:hanging="360"/>
        <w:spacing w:after="0" w:line="259" w:lineRule="auto"/>
        <w:rPr>
          <w:sz w:val="24"/>
          <w:rFonts w:ascii="Times New Roman" w:hAnsi="Times New Roman"/>
        </w:rPr>
      </w:pPr>
      <w:r>
        <w:rPr>
          <w:sz w:val="24"/>
        </w:rPr>
        <w:t xml:space="preserve">sugʻurta hodisasining sababi va xarakterini aniqlash uchun zarur boshqa hujjatlar; </w:t>
      </w:r>
    </w:p>
    <w:p>
      <w:pPr>
        <w:numPr>
          <w:numId w:val="4"/>
          <w:ilvl w:val="0"/>
        </w:numPr>
        <w:ind w:right="41" w:hanging="360"/>
        <w:spacing w:after="0" w:line="259" w:lineRule="auto"/>
        <w:rPr>
          <w:sz w:val="24"/>
          <w:rFonts w:ascii="Times New Roman" w:hAnsi="Times New Roman"/>
        </w:rPr>
      </w:pPr>
      <w:r>
        <w:rPr>
          <w:sz w:val="24"/>
        </w:rPr>
        <w:t xml:space="preserve">jabrlanuvchining shaxsini tasdiqlovchi hujjatlar; </w:t>
      </w:r>
    </w:p>
    <w:p>
      <w:pPr>
        <w:numPr>
          <w:numId w:val="4"/>
          <w:ilvl w:val="0"/>
        </w:numPr>
        <w:ind w:right="41" w:hanging="360"/>
        <w:spacing w:after="0"/>
        <w:rPr>
          <w:sz w:val="24"/>
          <w:rFonts w:ascii="Times New Roman" w:hAnsi="Times New Roman"/>
        </w:rPr>
      </w:pPr>
      <w:r>
        <w:rPr>
          <w:sz w:val="24"/>
        </w:rPr>
        <w:t xml:space="preserve">sugʻurta summasini oluvchining shaxsini tasdiqlovchi hujjatlar va zarur boʻlganda, meros huquqining kuchga kirganligini tasdiqlovchi hujjatlar. </w:t>
      </w:r>
    </w:p>
    <w:p>
      <w:pPr>
        <w:ind w:left="-4" w:right="41"/>
        <w:spacing w:after="0"/>
        <w:rPr>
          <w:sz w:val="24"/>
        </w:rPr>
      </w:pPr>
      <w:r>
        <w:rPr>
          <w:sz w:val="24"/>
        </w:rPr>
        <w:t xml:space="preserve">6.15. Sugʻurta qildiruvchi tomonidan Sugʻurtalovchiga sugʻurta taʼminotini toʻlash boʻyicha daʼvolar OʻzR qonunchiligida belgilangan, daʼvolarni koʻrib chiqish muddatlarida qondiriladi. </w:t>
      </w:r>
    </w:p>
    <w:p>
      <w:pPr>
        <w:pStyle w:val="2"/>
        <w:jc w:val="center"/>
        <w:ind w:left="-5"/>
        <w:spacing w:after="0"/>
        <w:rPr>
          <w:sz w:val="24"/>
          <w:rFonts w:ascii="Times New Roman" w:hAnsi="Times New Roman"/>
        </w:rPr>
      </w:pPr>
      <w:r>
        <w:rPr>
          <w:sz w:val="24"/>
        </w:rPr>
        <w:t>7.</w:t>
      </w:r>
      <w:r>
        <w:rPr>
          <w:sz w:val="24"/>
          <w:rFonts w:ascii="Arial" w:hAnsi="Arial"/>
        </w:rPr>
        <w:t xml:space="preserve"> </w:t>
      </w:r>
      <w:r>
        <w:rPr>
          <w:sz w:val="24"/>
        </w:rPr>
        <w:t xml:space="preserve">TOMONLARNING HUQUQ VA MAJBURIYATLARI</w:t>
      </w:r>
    </w:p>
    <w:p>
      <w:pPr>
        <w:jc w:val="left"/>
        <w:ind w:left="-5"/>
        <w:spacing w:after="0" w:line="259" w:lineRule="auto"/>
        <w:rPr>
          <w:sz w:val="24"/>
        </w:rPr>
      </w:pPr>
      <w:r>
        <w:rPr>
          <w:sz w:val="24"/>
        </w:rPr>
        <w:t xml:space="preserve">7.1. </w:t>
      </w:r>
      <w:r>
        <w:rPr>
          <w:b/>
          <w:sz w:val="24"/>
        </w:rPr>
        <w:t xml:space="preserve">Sugʻurta qildiruvchining huquqlari: </w:t>
      </w:r>
    </w:p>
    <w:p>
      <w:pPr>
        <w:ind w:left="-4" w:right="41"/>
        <w:spacing w:after="0" w:line="259" w:lineRule="auto"/>
        <w:rPr>
          <w:sz w:val="24"/>
        </w:rPr>
      </w:pPr>
      <w:r>
        <w:rPr>
          <w:sz w:val="24"/>
        </w:rPr>
        <w:t xml:space="preserve">7.1.1. sugʻurta qilish Qoidalari bilan tanishish; </w:t>
      </w:r>
    </w:p>
    <w:p>
      <w:pPr>
        <w:ind w:left="-4" w:right="41"/>
        <w:spacing w:after="0" w:line="259" w:lineRule="auto"/>
        <w:rPr>
          <w:sz w:val="24"/>
        </w:rPr>
      </w:pPr>
      <w:r>
        <w:rPr>
          <w:sz w:val="24"/>
        </w:rPr>
        <w:t xml:space="preserve">7.1.2. Sugʻurtalovchi tomonidan ushbu sugʻurta Shartnomasi shartlari talablariga rioya etilishini tekshirish; </w:t>
      </w:r>
    </w:p>
    <w:p>
      <w:pPr>
        <w:ind w:left="-4" w:right="41"/>
        <w:spacing w:after="0" w:line="259" w:lineRule="auto"/>
        <w:rPr>
          <w:sz w:val="24"/>
        </w:rPr>
      </w:pPr>
      <w:r>
        <w:rPr>
          <w:sz w:val="24"/>
        </w:rPr>
        <w:t xml:space="preserve">7.1.3. sugʻurta polisi yoʻqolgan taqdirda, uning dublikatini olish; </w:t>
      </w:r>
    </w:p>
    <w:p>
      <w:pPr>
        <w:ind w:left="-4" w:right="41"/>
        <w:spacing w:after="0"/>
        <w:rPr>
          <w:sz w:val="24"/>
        </w:rPr>
      </w:pPr>
      <w:r>
        <w:rPr>
          <w:sz w:val="24"/>
        </w:rPr>
        <w:t xml:space="preserve">7.1.4. Oʻzbekiston Respublikasining amaldagi qonunchiligida, ushbu Shartnomada va sugʻurta Qoidalarida koʻzda tutilgan boshqa huquqlardan foydalanish. </w:t>
      </w:r>
    </w:p>
    <w:p>
      <w:pPr>
        <w:jc w:val="left"/>
        <w:ind w:left="-5"/>
        <w:spacing w:after="0" w:line="259" w:lineRule="auto"/>
        <w:rPr>
          <w:sz w:val="24"/>
        </w:rPr>
      </w:pPr>
      <w:r>
        <w:rPr>
          <w:sz w:val="24"/>
        </w:rPr>
        <w:t xml:space="preserve">7.2. </w:t>
      </w:r>
      <w:r>
        <w:rPr>
          <w:b/>
          <w:sz w:val="24"/>
        </w:rPr>
        <w:t xml:space="preserve">Sugʻurta qildiruvchining majburiyatlari: </w:t>
      </w:r>
    </w:p>
    <w:p>
      <w:pPr>
        <w:ind w:left="-4" w:right="41"/>
        <w:spacing w:after="0" w:line="259" w:lineRule="auto"/>
        <w:rPr>
          <w:sz w:val="24"/>
        </w:rPr>
      </w:pPr>
      <w:r>
        <w:rPr>
          <w:sz w:val="24"/>
        </w:rPr>
        <w:t xml:space="preserve">7.2.1. ushbu Shartnomada belgilangan miqdorlarda va muddatlarda sugʻurta mukofotini toʻlash;  </w:t>
      </w:r>
    </w:p>
    <w:p>
      <w:pPr>
        <w:ind w:left="-4" w:right="41"/>
        <w:spacing w:after="0" w:line="259" w:lineRule="auto"/>
        <w:rPr>
          <w:sz w:val="24"/>
        </w:rPr>
      </w:pPr>
      <w:r>
        <w:rPr>
          <w:sz w:val="24"/>
        </w:rPr>
        <w:t xml:space="preserve">7.2.2. sugʻurta hodisasi yuz berganda bu haqda Sugʻurtalovchini yozma ravishda xabardor qilish;  </w:t>
      </w:r>
    </w:p>
    <w:p>
      <w:pPr>
        <w:ind w:left="-4" w:right="41"/>
        <w:spacing w:after="0"/>
        <w:rPr>
          <w:sz w:val="24"/>
        </w:rPr>
      </w:pPr>
      <w:r>
        <w:rPr>
          <w:sz w:val="24"/>
        </w:rPr>
        <w:t xml:space="preserve">Sugʻurta qildiruvchining sugʻurta hodisasi yuz berganligi toʻgʻrisida xabar berish majburiyati Sugʻurtalangan shaxs yoki Naf oluvchi tomonidan bajarilishi mumkin; </w:t>
      </w:r>
    </w:p>
    <w:p>
      <w:pPr>
        <w:ind w:left="-4" w:right="41"/>
        <w:spacing w:after="0" w:line="259" w:lineRule="auto"/>
        <w:rPr>
          <w:sz w:val="24"/>
        </w:rPr>
      </w:pPr>
      <w:r>
        <w:rPr>
          <w:sz w:val="24"/>
        </w:rPr>
        <w:t xml:space="preserve">7.2.3. Sugʻurtalovchiga, uning talabiga binoan Sugʻurtalangan shaxs va Naf oluvchi haqida ishonchli axborotni berish; </w:t>
      </w:r>
    </w:p>
    <w:p>
      <w:pPr>
        <w:ind w:left="-4" w:right="41"/>
        <w:spacing w:after="0" w:line="259" w:lineRule="auto"/>
        <w:rPr>
          <w:sz w:val="24"/>
        </w:rPr>
      </w:pPr>
      <w:r>
        <w:rPr>
          <w:sz w:val="24"/>
        </w:rPr>
        <w:t xml:space="preserve">7.2.4. Sugʻurtalovchiga yoki uning vakiliga sugʻurta hodisasiga taalluqli boʻlgan axborotni erkin va bepul olish uchun imkon berish; </w:t>
      </w:r>
    </w:p>
    <w:p>
      <w:pPr>
        <w:ind w:left="-4" w:right="41"/>
        <w:spacing w:after="0"/>
        <w:rPr>
          <w:sz w:val="24"/>
        </w:rPr>
      </w:pPr>
      <w:r>
        <w:rPr>
          <w:sz w:val="24"/>
        </w:rPr>
        <w:t xml:space="preserve">7.2.5. Oʻzbekiston Respublikasining amaldagi qonunchiligida, ushbu Shartnomada va sugʻurta Qoidalarida koʻzda tutilgan boshqa majburiyatlarni bajarish. </w:t>
      </w:r>
    </w:p>
    <w:p>
      <w:pPr>
        <w:ind w:left="-4" w:right="41"/>
        <w:spacing w:after="0"/>
        <w:rPr>
          <w:sz w:val="24"/>
        </w:rPr>
      </w:pPr>
      <w:r>
        <w:rPr>
          <w:sz w:val="24"/>
        </w:rPr>
        <w:t xml:space="preserve">7.3. </w:t>
      </w:r>
      <w:r>
        <w:rPr>
          <w:b/>
          <w:sz w:val="24"/>
        </w:rPr>
        <w:t xml:space="preserve">Sugʻurtalovchining huquqlari: </w:t>
      </w:r>
    </w:p>
    <w:p>
      <w:pPr>
        <w:ind w:left="-4" w:right="41"/>
        <w:spacing w:after="0"/>
        <w:rPr>
          <w:sz w:val="24"/>
        </w:rPr>
      </w:pPr>
      <w:r>
        <w:rPr>
          <w:sz w:val="24"/>
        </w:rPr>
        <w:t xml:space="preserve">7.3.1. Sugʻurta qildiruvchi tomonidan berilgan axborotlarni, shuningdek Sugʻurta qildiruvchi tomonidan ushbu Shartnoma shartlariga va sugʻurta qilish Qoidalariga rioya etilishini tekshirish; </w:t>
      </w:r>
    </w:p>
    <w:p>
      <w:pPr>
        <w:ind w:left="-4" w:right="41"/>
        <w:spacing w:after="0"/>
        <w:rPr>
          <w:sz w:val="24"/>
        </w:rPr>
      </w:pPr>
      <w:r>
        <w:rPr>
          <w:sz w:val="24"/>
        </w:rPr>
        <w:t xml:space="preserve">7.3.2. Oʻzbekiston Respublikasining amaldagi qonunchiligida, ushbu Shartnomada va sugʻurta Qoidalarida koʻzda tutilgan boshqa huquqlardan foydalanish.  </w:t>
      </w:r>
    </w:p>
    <w:p>
      <w:pPr>
        <w:jc w:val="left"/>
        <w:ind w:left="-5"/>
        <w:spacing w:after="0" w:line="259" w:lineRule="auto"/>
        <w:rPr>
          <w:sz w:val="24"/>
        </w:rPr>
      </w:pPr>
      <w:r>
        <w:rPr>
          <w:sz w:val="24"/>
        </w:rPr>
        <w:t xml:space="preserve">7.4. </w:t>
      </w:r>
      <w:r>
        <w:rPr>
          <w:b/>
          <w:sz w:val="24"/>
        </w:rPr>
        <w:t xml:space="preserve">Sugʻurtalovchining majburiyatlari: </w:t>
      </w:r>
    </w:p>
    <w:p>
      <w:pPr>
        <w:ind w:left="-4" w:right="41"/>
        <w:spacing w:after="0"/>
        <w:rPr>
          <w:sz w:val="24"/>
        </w:rPr>
      </w:pPr>
      <w:r>
        <w:rPr>
          <w:sz w:val="24"/>
        </w:rPr>
        <w:t xml:space="preserve">7.4.1. sugʻurta hodisasi yuz berganda Sugʻurta qildiruvchiga (Sugʻurtalangan shaxsga) sugʻurta tovonini toʻlash yoki ushbu Shartnomada belgilangan muddat va tartibda sababini koʻrsatgan holda tovon toʻlashni rad etish; </w:t>
      </w:r>
    </w:p>
    <w:p>
      <w:pPr>
        <w:ind w:left="-4" w:right="41"/>
        <w:spacing w:after="0"/>
        <w:rPr>
          <w:sz w:val="24"/>
        </w:rPr>
      </w:pPr>
      <w:r>
        <w:rPr>
          <w:sz w:val="24"/>
        </w:rPr>
        <w:t xml:space="preserve">7.4.2. Sugʻurtalovchi Sugʻurtalanuvchidan namunaviy sugʻurta Shartnomasi va Qoidalarda koʻzda tutilmagan maʼlumot (hujjatlar)ni talab qilishga haqli emas. </w:t>
      </w:r>
    </w:p>
    <w:p>
      <w:pPr>
        <w:pStyle w:val="2"/>
        <w:jc w:val="center"/>
        <w:ind w:left="-5"/>
        <w:spacing w:after="0"/>
        <w:rPr>
          <w:sz w:val="24"/>
          <w:rFonts w:ascii="Times New Roman" w:hAnsi="Times New Roman"/>
        </w:rPr>
      </w:pPr>
      <w:r>
        <w:rPr>
          <w:sz w:val="24"/>
        </w:rPr>
        <w:t xml:space="preserve">8. TOMONLARNING JAVOBGARLIGI</w:t>
      </w:r>
    </w:p>
    <w:p>
      <w:pPr>
        <w:ind w:left="-4" w:right="41"/>
        <w:spacing w:after="0"/>
        <w:rPr>
          <w:sz w:val="24"/>
        </w:rPr>
      </w:pPr>
      <w:r>
        <w:rPr>
          <w:sz w:val="24"/>
        </w:rPr>
        <w:t xml:space="preserve">8.1. Tomonlar ushbu Shartnoma boʻyicha qabul qilgan majburiyatlarini buzganliklari uchun OʻzRning amaldagi qonunchiligiga muvofiq javobgardirlar. </w:t>
      </w:r>
    </w:p>
    <w:p>
      <w:pPr>
        <w:ind w:left="-4" w:right="41"/>
        <w:spacing w:after="0" w:line="259" w:lineRule="auto"/>
        <w:rPr>
          <w:sz w:val="24"/>
        </w:rPr>
      </w:pPr>
      <w:r>
        <w:rPr>
          <w:sz w:val="24"/>
        </w:rPr>
        <w:t xml:space="preserve">8.2. Sugʻurta qildiruvchi ushbu sugʻurta Shartnomasida koʻrsatilgan muddatlarda sugʻurta mukofotini oʻz vaqtida toʻlash uchun javobgar.  </w:t>
      </w:r>
    </w:p>
    <w:p>
      <w:pPr>
        <w:jc w:val="center"/>
        <w:ind w:left="-4" w:right="41"/>
        <w:spacing w:after="0" w:line="259" w:lineRule="auto"/>
        <w:rPr>
          <w:sz w:val="24"/>
        </w:rPr>
      </w:pPr>
    </w:p>
    <w:p>
      <w:pPr>
        <w:pStyle w:val="2"/>
        <w:jc w:val="center"/>
        <w:ind w:left="-5"/>
        <w:spacing w:after="0"/>
        <w:rPr>
          <w:sz w:val="24"/>
          <w:rFonts w:ascii="Times New Roman" w:hAnsi="Times New Roman"/>
        </w:rPr>
      </w:pPr>
      <w:r>
        <w:rPr>
          <w:sz w:val="24"/>
        </w:rPr>
        <w:t xml:space="preserve">9. SUBROGATSIYA</w:t>
      </w:r>
    </w:p>
    <w:p>
      <w:pPr>
        <w:ind w:left="-4" w:right="41"/>
        <w:spacing w:after="0"/>
        <w:rPr>
          <w:sz w:val="24"/>
        </w:rPr>
      </w:pPr>
      <w:r>
        <w:rPr>
          <w:sz w:val="24"/>
        </w:rPr>
        <w:t xml:space="preserve">9.1. Toʻliq yoki qisman sugʻurta tovonini toʻlagan Sugʻurtalovchiga shu summa doirasida Sugʻurta qildiruvchi (Naf oluvchi)ning yetkazilgan zarar uchun javobgar shaxsga nisbatan regress talabi huquqi oʻtadi.  </w:t>
      </w:r>
    </w:p>
    <w:p>
      <w:pPr>
        <w:ind w:left="-4" w:right="41"/>
        <w:spacing w:after="0"/>
        <w:rPr>
          <w:sz w:val="24"/>
        </w:rPr>
      </w:pPr>
      <w:r>
        <w:rPr>
          <w:sz w:val="24"/>
        </w:rPr>
        <w:t xml:space="preserve">9.2. Sugʻurta qildiruvchi (Naf oluvchi) sugʻurta tovonini olgandan soʻng Sugʻurtalovchiga regress talabi huquqini amalga oshirish uchun barcha zaruriy hujjatlarni berishi va barcha choralarni koʻrishi shart.  </w:t>
      </w:r>
    </w:p>
    <w:p>
      <w:pPr>
        <w:ind w:left="-4" w:right="41"/>
        <w:spacing w:after="0"/>
        <w:rPr>
          <w:sz w:val="24"/>
        </w:rPr>
      </w:pPr>
      <w:r>
        <w:rPr>
          <w:sz w:val="24"/>
        </w:rPr>
        <w:t xml:space="preserve">9.3. Sugʻurtalovchiga oʻtkazilgan regress talabi huquqi Sugʻurta qildiruvchi (Naf oluvchi) bilan yetkazilgan zarar uchun javobgar shaxs oʻrtasidagi munosabatlarni tartibga soluvchi Qoidalarga rioya qilingan holda amalga oshiriladi. </w:t>
      </w:r>
    </w:p>
    <w:p>
      <w:pPr>
        <w:pStyle w:val="2"/>
        <w:jc w:val="center"/>
        <w:ind w:left="-5"/>
        <w:spacing w:after="0"/>
        <w:rPr>
          <w:sz w:val="24"/>
          <w:rFonts w:ascii="Times New Roman" w:hAnsi="Times New Roman"/>
        </w:rPr>
      </w:pPr>
      <w:r>
        <w:rPr>
          <w:sz w:val="24"/>
        </w:rPr>
        <w:t xml:space="preserve">10. BOSHQA SHARTLAR</w:t>
      </w:r>
    </w:p>
    <w:p>
      <w:pPr>
        <w:ind w:left="-4" w:right="41"/>
        <w:spacing w:after="0" w:line="259" w:lineRule="auto"/>
        <w:rPr>
          <w:sz w:val="24"/>
        </w:rPr>
      </w:pPr>
      <w:r>
        <w:rPr>
          <w:sz w:val="24"/>
        </w:rPr>
        <w:t xml:space="preserve">10.1. Tomonlar oʻrtasidagi barcha pulli hisob-kitoblar Oʻzbekiston Respublikasi qonunchiligiga muvofiq amalga oshiriladi. </w:t>
      </w:r>
    </w:p>
    <w:p>
      <w:pPr>
        <w:ind w:left="-4" w:right="41"/>
        <w:spacing w:after="0"/>
        <w:rPr>
          <w:sz w:val="24"/>
        </w:rPr>
      </w:pPr>
      <w:r>
        <w:rPr>
          <w:sz w:val="24"/>
        </w:rPr>
        <w:t>10.2.</w:t>
      </w:r>
      <w:r>
        <w:rPr>
          <w:sz w:val="24"/>
          <w:rFonts w:ascii="Corbel" w:hAnsi="Corbel"/>
        </w:rPr>
        <w:t xml:space="preserve"> </w:t>
      </w:r>
      <w:r>
        <w:rPr>
          <w:sz w:val="24"/>
        </w:rPr>
        <w:t xml:space="preserve">Ushbu Shartnomaga kiritiladigan barcha qoʻshimcha va oʻzgartirishlar, shuningdek, Shartnomani bekor qilish va tugatish yozma koʻrinishda boʻlishi kerak.  </w:t>
      </w:r>
    </w:p>
    <w:p>
      <w:pPr>
        <w:ind w:left="-4" w:right="41"/>
        <w:spacing w:after="0" w:line="259" w:lineRule="auto"/>
        <w:rPr>
          <w:sz w:val="24"/>
        </w:rPr>
      </w:pPr>
      <w:r>
        <w:rPr>
          <w:sz w:val="24"/>
        </w:rPr>
        <w:t xml:space="preserve">10.3. Ushbu Shartnoma Sugʻurta qildiruvchi sugʻurta qilish Qoidalari bilan toʻliq tanishib chiqqani holda tuzilgan.  </w:t>
      </w:r>
    </w:p>
    <w:p>
      <w:pPr>
        <w:ind w:left="-4" w:right="41"/>
        <w:spacing w:after="0"/>
        <w:rPr>
          <w:sz w:val="24"/>
        </w:rPr>
      </w:pPr>
      <w:r>
        <w:rPr>
          <w:sz w:val="24"/>
        </w:rPr>
        <w:t>10.4.</w:t>
      </w:r>
      <w:r>
        <w:rPr>
          <w:sz w:val="24"/>
          <w:rFonts w:ascii="Tahoma" w:hAnsi="Tahoma"/>
        </w:rPr>
        <w:t xml:space="preserve"> </w:t>
      </w:r>
      <w:r>
        <w:rPr>
          <w:sz w:val="24"/>
        </w:rPr>
        <w:t xml:space="preserve">Tomonlar Shartnoma shartlarini bajarmaganda yoki notoʻgʻri bajarganda, yuzaga keladigan nizolar Tomonlar muzokarasi orqali hal etiladi, kelishuvga erishishning iloji boʻlmasa, nizolar Oʻzbekiston Respublikasining amaldagi qonunchiligiga muvofiq tegishli sudida yoki Oʻzbekiston sugʻurta bozori professional ishtirokchilari uyushmasi huzuridagi Hakamlik sudida koʻrib chiqiladi.    </w:t>
      </w:r>
    </w:p>
    <w:p>
      <w:pPr>
        <w:ind w:left="-4" w:right="41"/>
        <w:spacing w:after="0" w:line="259" w:lineRule="auto"/>
        <w:rPr>
          <w:sz w:val="24"/>
        </w:rPr>
      </w:pPr>
      <w:r>
        <w:rPr>
          <w:sz w:val="24"/>
        </w:rPr>
        <w:t xml:space="preserve">10.5. Ushbu Shartnoma har bir Tomonda bittadan saqlanuvchi va bir xil yuridik kuchga ega ikkita aynan bir xil nusxalarda tuzilgan.</w:t>
      </w:r>
    </w:p>
    <w:p>
      <w:pPr>
        <w:jc w:val="center"/>
        <w:rPr>
          <w:b/>
          <w:sz w:val="24"/>
        </w:rPr>
      </w:pPr>
      <w:r>
        <w:rPr>
          <w:b/>
          <w:sz w:val="24"/>
        </w:rPr>
        <w:t xml:space="preserve">7. TARAFLARNING REKVIZITLARI</w:t>
      </w:r>
    </w:p>
    <w:tbl>
      <w:tblPr>
        <w:tblStyle w:val="a7"/>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1"/>
        <w:gridCol w:w="4814"/>
      </w:tblGrid>
      <w:tr>
        <w:tc>
          <w:tcPr>
            <w:tcW w:w="4531" w:type="dxa"/>
          </w:tcPr>
          <w:p>
            <w:pPr>
              <w:rPr>
                <w:b/>
                <w:sz w:val="24"/>
              </w:rPr>
            </w:pPr>
            <w:r>
              <w:rPr>
                <w:b/>
                <w:sz w:val="24"/>
              </w:rPr>
              <w:t xml:space="preserve">SUG‘URTA KOMPANIYASI:</w:t>
            </w:r>
          </w:p>
          <w:p>
            <w:pPr>
              <w:rPr>
                <w:b/>
                <w:sz w:val="24"/>
              </w:rPr>
            </w:pPr>
            <w:r>
              <w:rPr>
                <w:b/>
                <w:sz w:val="24"/>
              </w:rPr>
              <w:t xml:space="preserve">Yuridik manzili:</w:t>
            </w:r>
            <w:r>
              <w:rPr>
                <w:sz w:val="24"/>
              </w:rPr>
              <w:t xml:space="preserve">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Sugʻurta kompaniyasining yuridik manzili</w:t>
              <w:fldChar w:fldCharType="end"/>
            </w:r>
          </w:p>
          <w:p>
            <w:pPr>
              <w:rPr>
                <w:b/>
                <w:sz w:val="24"/>
              </w:rPr>
            </w:pPr>
            <w:r>
              <w:rPr>
                <w:b/>
                <w:sz w:val="24"/>
              </w:rPr>
              <w:t>H/R:</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Sugʻurta kompaniyasining hisob raqami</w:t>
              <w:fldChar w:fldCharType="end"/>
            </w:r>
          </w:p>
          <w:p>
            <w:pPr>
              <w:rPr>
                <w:b/>
                <w:sz w:val="24"/>
              </w:rPr>
            </w:pPr>
            <w:r>
              <w:rPr>
                <w:b/>
                <w:sz w:val="24"/>
              </w:rPr>
              <w:t xml:space="preserve">Bank kodi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Sugʻurta kompaniyasining bank kodi</w:t>
              <w:fldChar w:fldCharType="end"/>
            </w:r>
          </w:p>
          <w:p>
            <w:pPr>
              <w:rPr>
                <w:b/>
                <w:sz w:val="24"/>
              </w:rPr>
            </w:pPr>
            <w:r>
              <w:rPr>
                <w:b/>
                <w:sz w:val="24"/>
              </w:rPr>
              <w:t xml:space="preserve">STIR: </w:t>
            </w: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Sugʻurta kompaniyasining STIR raqami</w:t>
              <w:fldChar w:fldCharType="end"/>
            </w:r>
          </w:p>
          <w:p>
            <w:pPr>
              <w:rPr>
                <w:b/>
                <w:sz w:val="24"/>
              </w:rPr>
            </w:pP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Sugʻurta kompaniyasi bilan bog‘lanish uchun telefon raqami</w:t>
              <w:fldChar w:fldCharType="end"/>
            </w:r>
          </w:p>
          <w:p>
            <w:pPr>
              <w:rPr>
                <w:b/>
                <w:sz w:val="24"/>
              </w:rPr>
            </w:pPr>
          </w:p>
        </w:tc>
        <w:tc>
          <w:tcPr>
            <w:tcW w:w="4814" w:type="dxa"/>
          </w:tcPr>
          <w:p>
            <w:pPr>
              <w:rPr>
                <w:b/>
                <w:sz w:val="24"/>
              </w:rPr>
            </w:pPr>
            <w:r>
              <w:rPr>
                <w:b/>
                <w:sz w:val="24"/>
              </w:rPr>
              <w:t xml:space="preserve">SUG‘URTA QILDIRUVCHI:</w:t>
            </w:r>
          </w:p>
          <w:p>
            <w:pPr>
              <w:rPr>
                <w:b/>
                <w:sz w:val="24"/>
              </w:rPr>
            </w:pPr>
            <w:r>
              <w:rPr>
                <w:b/>
                <w:sz w:val="24"/>
              </w:rPr>
              <w:t xml:space="preserve">Yuridik manzili:</w:t>
            </w:r>
            <w:r>
              <w:rPr>
                <w:sz w:val="24"/>
              </w:rPr>
              <w:t xml:space="preserve"> </w:t>
            </w:r>
            <w:r>
              <w:rPr>
                <w:b/>
                <w:vanish w:val="false"/>
                <w:sz w:val="24"/>
                <w:rFonts w:ascii="Times New Roman" w:hAnsi="Times New Roman"/>
              </w:rPr>
              <w:fldChar w:fldCharType="begin"/>
              <w:instrText xml:space="preserve">X {"Y":27}</w:instrText>
              <w:fldChar w:fldCharType="separate"/>
            </w:r>
            <w:r>
              <w:rPr>
                <w:b/>
                <w:vanish w:val="false"/>
                <w:sz w:val="24"/>
                <w:rFonts w:ascii="Times New Roman" w:hAnsi="Times New Roman"/>
              </w:rPr>
              <w:t xml:space="preserve">Sug‘urta qildiruvchining manzili</w:t>
              <w:fldChar w:fldCharType="end"/>
            </w:r>
          </w:p>
          <w:p>
            <w:pPr>
              <w:rPr>
                <w:b/>
                <w:sz w:val="24"/>
              </w:rPr>
            </w:pPr>
            <w:r>
              <w:rPr>
                <w:b/>
                <w:sz w:val="24"/>
              </w:rPr>
              <w:t>H/R:</w:t>
            </w:r>
            <w:r>
              <w:rPr>
                <w:b/>
                <w:vanish w:val="false"/>
                <w:sz w:val="24"/>
                <w:rFonts w:ascii="Times New Roman" w:hAnsi="Times New Roman"/>
              </w:rPr>
              <w:fldChar w:fldCharType="begin"/>
              <w:instrText xml:space="preserve">X {"Y":28}</w:instrText>
              <w:fldChar w:fldCharType="separate"/>
            </w:r>
            <w:r>
              <w:rPr>
                <w:b/>
                <w:vanish w:val="false"/>
                <w:sz w:val="24"/>
                <w:rFonts w:ascii="Times New Roman" w:hAnsi="Times New Roman"/>
              </w:rPr>
              <w:t xml:space="preserve">Sug‘urta qildiruvchining hisob raqami</w:t>
              <w:fldChar w:fldCharType="end"/>
            </w:r>
          </w:p>
          <w:p>
            <w:pPr>
              <w:rPr>
                <w:b/>
                <w:sz w:val="24"/>
              </w:rPr>
            </w:pPr>
            <w:r>
              <w:rPr>
                <w:b/>
                <w:sz w:val="24"/>
              </w:rPr>
              <w:t xml:space="preserve">Bank kodi </w:t>
            </w:r>
            <w:r>
              <w:rPr>
                <w:b/>
                <w:vanish w:val="false"/>
                <w:sz w:val="24"/>
                <w:rFonts w:ascii="Times New Roman" w:hAnsi="Times New Roman"/>
              </w:rPr>
              <w:fldChar w:fldCharType="begin"/>
              <w:instrText xml:space="preserve">X {"Y":29}</w:instrText>
              <w:fldChar w:fldCharType="separate"/>
            </w:r>
            <w:r>
              <w:rPr>
                <w:b/>
                <w:vanish w:val="false"/>
                <w:sz w:val="24"/>
                <w:rFonts w:ascii="Times New Roman" w:hAnsi="Times New Roman"/>
              </w:rPr>
              <w:t xml:space="preserve">Sug‘urta qildiruvchining bank kodi</w:t>
              <w:fldChar w:fldCharType="end"/>
            </w:r>
          </w:p>
          <w:p>
            <w:pPr>
              <w:rPr>
                <w:b/>
                <w:sz w:val="24"/>
              </w:rPr>
            </w:pPr>
            <w:r>
              <w:rPr>
                <w:b/>
                <w:sz w:val="24"/>
              </w:rPr>
              <w:t xml:space="preserve">STIR: </w:t>
            </w:r>
            <w:r>
              <w:rPr>
                <w:b/>
                <w:vanish w:val="false"/>
                <w:sz w:val="24"/>
                <w:rFonts w:ascii="Times New Roman" w:hAnsi="Times New Roman"/>
              </w:rPr>
              <w:fldChar w:fldCharType="begin"/>
              <w:instrText xml:space="preserve">X {"Y":30}</w:instrText>
              <w:fldChar w:fldCharType="separate"/>
            </w:r>
            <w:r>
              <w:rPr>
                <w:b/>
                <w:vanish w:val="false"/>
                <w:sz w:val="24"/>
                <w:rFonts w:ascii="Times New Roman" w:hAnsi="Times New Roman"/>
              </w:rPr>
              <w:t xml:space="preserve">Sug‘urta qildiruvchining STIR raqami</w:t>
              <w:fldChar w:fldCharType="end"/>
            </w:r>
          </w:p>
          <w:p>
            <w:pPr>
              <w:rPr>
                <w:b/>
                <w:sz w:val="24"/>
              </w:rPr>
            </w:pPr>
            <w:r>
              <w:rPr>
                <w:b/>
                <w:vanish w:val="false"/>
                <w:sz w:val="24"/>
                <w:rFonts w:ascii="Times New Roman" w:hAnsi="Times New Roman"/>
              </w:rPr>
              <w:fldChar w:fldCharType="begin"/>
              <w:instrText xml:space="preserve">X {"Y":31}</w:instrText>
              <w:fldChar w:fldCharType="separate"/>
            </w:r>
            <w:r>
              <w:rPr>
                <w:b/>
                <w:vanish w:val="false"/>
                <w:sz w:val="24"/>
                <w:rFonts w:ascii="Times New Roman" w:hAnsi="Times New Roman"/>
              </w:rPr>
              <w:t xml:space="preserve">Sug‘urta qildiruvchi bilan bog‘lanish uchun telefon raqam</w:t>
              <w:fldChar w:fldCharType="end"/>
            </w:r>
          </w:p>
          <w:p>
            <w:pPr>
              <w:rPr>
                <w:b/>
                <w:sz w:val="24"/>
              </w:rPr>
            </w:pPr>
          </w:p>
        </w:tc>
      </w:tr>
    </w:tbl>
    <w:p>
      <w:pPr>
        <w:rPr>
          <w:b/>
          <w:sz w:val="28"/>
        </w:rPr>
      </w:pPr>
      <w:r>
        <w:rPr>
          <w:b/>
          <w:sz w:val="28"/>
        </w:rPr>
      </w:r>
    </w:p>
    <w:sectPr>
      <w:pgSz w:w="11909" w:h="16838"/>
      <w:pgMar w:left="1276" w:right="851" w:top="212" w:bottom="883" w:header="720" w:footer="720"/>
      <w:headerReference r:id="rId8" w:type="first"/>
      <w:headerReference r:id="rId7" w:type="even"/>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E87" w:rsidRDefault="003B5E87">
      <w:pPr>
        <w:spacing w:after="0" w:line="240" w:lineRule="auto"/>
      </w:pPr>
      <w:r>
        <w:separator/>
      </w:r>
    </w:p>
  </w:endnote>
  <w:endnote w:type="continuationSeparator" w:id="0">
    <w:p w:rsidR="003B5E87" w:rsidRDefault="003B5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rbel">
    <w:panose1 w:val="020B0503020204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E87" w:rsidRDefault="003B5E87">
      <w:pPr>
        <w:spacing w:after="0" w:line="240" w:lineRule="auto"/>
      </w:pPr>
      <w:r>
        <w:separator/>
      </w:r>
    </w:p>
  </w:footnote>
  <w:footnote w:type="continuationSeparator" w:id="0">
    <w:p w:rsidR="003B5E87" w:rsidRDefault="003B5E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A20" w:rsidRDefault="008A460D">
    <w:pPr>
      <w:spacing w:after="0" w:line="259" w:lineRule="auto"/>
      <w:ind w:left="-427"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521208</wp:posOffset>
              </wp:positionH>
              <wp:positionV relativeFrom="page">
                <wp:posOffset>658368</wp:posOffset>
              </wp:positionV>
              <wp:extent cx="6248400" cy="6096"/>
              <wp:effectExtent l="0" t="0" r="0" b="0"/>
              <wp:wrapSquare wrapText="bothSides"/>
              <wp:docPr id="8475" name="Group 8475"/>
              <wp:cNvGraphicFramePr/>
              <a:graphic xmlns:a="http://schemas.openxmlformats.org/drawingml/2006/main">
                <a:graphicData uri="http://schemas.microsoft.com/office/word/2010/wordprocessingGroup">
                  <wpg:wgp>
                    <wpg:cNvGrpSpPr/>
                    <wpg:grpSpPr>
                      <a:xfrm>
                        <a:off x="0" y="0"/>
                        <a:ext cx="6248400" cy="6096"/>
                        <a:chOff x="0" y="0"/>
                        <a:chExt cx="6248400" cy="6096"/>
                      </a:xfrm>
                    </wpg:grpSpPr>
                    <wps:wsp>
                      <wps:cNvPr id="8476" name="Shape 8476"/>
                      <wps:cNvSpPr/>
                      <wps:spPr>
                        <a:xfrm>
                          <a:off x="0" y="0"/>
                          <a:ext cx="6248400" cy="0"/>
                        </a:xfrm>
                        <a:custGeom>
                          <a:avLst/>
                          <a:gdLst/>
                          <a:ahLst/>
                          <a:cxnLst/>
                          <a:rect l="0" t="0" r="0" b="0"/>
                          <a:pathLst>
                            <a:path w="6248400">
                              <a:moveTo>
                                <a:pt x="0" y="0"/>
                              </a:moveTo>
                              <a:lnTo>
                                <a:pt x="6248400" y="0"/>
                              </a:lnTo>
                            </a:path>
                          </a:pathLst>
                        </a:custGeom>
                        <a:ln w="6096" cap="sq">
                          <a:custDash>
                            <a:ds d="48000" sp="96000"/>
                          </a:custDash>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8475" style="width:492pt;height:0.48pt;position:absolute;mso-position-horizontal-relative:page;mso-position-horizontal:absolute;margin-left:41.04pt;mso-position-vertical-relative:page;margin-top:51.84pt;" coordsize="62484,60">
              <v:shape id="Shape 8476" style="position:absolute;width:62484;height:0;left:0;top:0;" coordsize="6248400,0" path="m0,0l6248400,0">
                <v:stroke weight="0.48pt" endcap="square" dashstyle="1 2" joinstyle="miter" miterlimit="10" on="true" color="#000000"/>
                <v:fill on="false" color="#000000" opacity="0"/>
              </v:shape>
              <w10:wrap type="square"/>
            </v:group>
          </w:pict>
        </mc:Fallback>
      </mc:AlternateConten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6A20" w:rsidRDefault="001D6A20">
    <w:pPr>
      <w:spacing w:after="160" w:line="259" w:lineRule="auto"/>
      <w:ind w:left="0" w:firstLine="0"/>
      <w:jc w:val="lef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E24"/>
    <w:multiLevelType w:val="multilevel"/>
    <w:tmpl w:val="42A07448"/>
    <w:lvl w:ilvl="0">
      <w:start w:val="6"/>
      <w:numFmt w:val="decimal"/>
      <w:lvlText w:val="%1"/>
      <w:lvlJc w:val="left"/>
      <w:pPr>
        <w:ind w:left="3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3"/>
      <w:numFmt w:val="decimal"/>
      <w:lvlRestart w:val="0"/>
      <w:lvlText w:val="%1.%2."/>
      <w:lvlJc w:val="left"/>
      <w:pPr>
        <w:ind w:left="7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4023E7F"/>
    <w:multiLevelType w:val="hybridMultilevel"/>
    <w:tmpl w:val="A82C1664"/>
    <w:lvl w:ilvl="0" w:tplc="5986E482">
      <w:start w:val="1"/>
      <w:numFmt w:val="bullet"/>
      <w:lvlText w:val=""/>
      <w:lvlJc w:val="left"/>
      <w:pPr>
        <w:ind w:left="1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EB76AC42">
      <w:start w:val="1"/>
      <w:numFmt w:val="bullet"/>
      <w:lvlText w:val="o"/>
      <w:lvlJc w:val="left"/>
      <w:pPr>
        <w:ind w:left="10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E8F24378">
      <w:start w:val="1"/>
      <w:numFmt w:val="bullet"/>
      <w:lvlText w:val="▪"/>
      <w:lvlJc w:val="left"/>
      <w:pPr>
        <w:ind w:left="18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C77A0956">
      <w:start w:val="1"/>
      <w:numFmt w:val="bullet"/>
      <w:lvlText w:val="•"/>
      <w:lvlJc w:val="left"/>
      <w:pPr>
        <w:ind w:left="25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8A94EF58">
      <w:start w:val="1"/>
      <w:numFmt w:val="bullet"/>
      <w:lvlText w:val="o"/>
      <w:lvlJc w:val="left"/>
      <w:pPr>
        <w:ind w:left="324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CB2C031C">
      <w:start w:val="1"/>
      <w:numFmt w:val="bullet"/>
      <w:lvlText w:val="▪"/>
      <w:lvlJc w:val="left"/>
      <w:pPr>
        <w:ind w:left="39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88746398">
      <w:start w:val="1"/>
      <w:numFmt w:val="bullet"/>
      <w:lvlText w:val="•"/>
      <w:lvlJc w:val="left"/>
      <w:pPr>
        <w:ind w:left="468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177C56CC">
      <w:start w:val="1"/>
      <w:numFmt w:val="bullet"/>
      <w:lvlText w:val="o"/>
      <w:lvlJc w:val="left"/>
      <w:pPr>
        <w:ind w:left="540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31722B1C">
      <w:start w:val="1"/>
      <w:numFmt w:val="bullet"/>
      <w:lvlText w:val="▪"/>
      <w:lvlJc w:val="left"/>
      <w:pPr>
        <w:ind w:left="612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6DD520E"/>
    <w:multiLevelType w:val="hybridMultilevel"/>
    <w:tmpl w:val="39DAC9AA"/>
    <w:lvl w:ilvl="0" w:tplc="046E4508">
      <w:start w:val="1"/>
      <w:numFmt w:val="bullet"/>
      <w:lvlText w:val=""/>
      <w:lvlJc w:val="left"/>
      <w:pPr>
        <w:ind w:left="36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8F66C1A4">
      <w:start w:val="1"/>
      <w:numFmt w:val="bullet"/>
      <w:lvlText w:val="o"/>
      <w:lvlJc w:val="left"/>
      <w:pPr>
        <w:ind w:left="10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5ADC2112">
      <w:start w:val="1"/>
      <w:numFmt w:val="bullet"/>
      <w:lvlText w:val="▪"/>
      <w:lvlJc w:val="left"/>
      <w:pPr>
        <w:ind w:left="18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3BCEC9F0">
      <w:start w:val="1"/>
      <w:numFmt w:val="bullet"/>
      <w:lvlText w:val="•"/>
      <w:lvlJc w:val="left"/>
      <w:pPr>
        <w:ind w:left="25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81C001B0">
      <w:start w:val="1"/>
      <w:numFmt w:val="bullet"/>
      <w:lvlText w:val="o"/>
      <w:lvlJc w:val="left"/>
      <w:pPr>
        <w:ind w:left="32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0D92FF32">
      <w:start w:val="1"/>
      <w:numFmt w:val="bullet"/>
      <w:lvlText w:val="▪"/>
      <w:lvlJc w:val="left"/>
      <w:pPr>
        <w:ind w:left="39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D0061768">
      <w:start w:val="1"/>
      <w:numFmt w:val="bullet"/>
      <w:lvlText w:val="•"/>
      <w:lvlJc w:val="left"/>
      <w:pPr>
        <w:ind w:left="46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7EADD90">
      <w:start w:val="1"/>
      <w:numFmt w:val="bullet"/>
      <w:lvlText w:val="o"/>
      <w:lvlJc w:val="left"/>
      <w:pPr>
        <w:ind w:left="54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7F5C56F2">
      <w:start w:val="1"/>
      <w:numFmt w:val="bullet"/>
      <w:lvlText w:val="▪"/>
      <w:lvlJc w:val="left"/>
      <w:pPr>
        <w:ind w:left="61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2B645FD1"/>
    <w:multiLevelType w:val="hybridMultilevel"/>
    <w:tmpl w:val="566A7A42"/>
    <w:lvl w:ilvl="0" w:tplc="95CC62A0">
      <w:start w:val="1"/>
      <w:numFmt w:val="bullet"/>
      <w:lvlText w:val=""/>
      <w:lvlJc w:val="left"/>
      <w:pPr>
        <w:ind w:left="1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08DEA6AC">
      <w:start w:val="1"/>
      <w:numFmt w:val="bullet"/>
      <w:lvlText w:val="o"/>
      <w:lvlJc w:val="left"/>
      <w:pPr>
        <w:ind w:left="10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C1D4782C">
      <w:start w:val="1"/>
      <w:numFmt w:val="bullet"/>
      <w:lvlText w:val="▪"/>
      <w:lvlJc w:val="left"/>
      <w:pPr>
        <w:ind w:left="18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62EB06E">
      <w:start w:val="1"/>
      <w:numFmt w:val="bullet"/>
      <w:lvlText w:val="•"/>
      <w:lvlJc w:val="left"/>
      <w:pPr>
        <w:ind w:left="25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E9E0D9A8">
      <w:start w:val="1"/>
      <w:numFmt w:val="bullet"/>
      <w:lvlText w:val="o"/>
      <w:lvlJc w:val="left"/>
      <w:pPr>
        <w:ind w:left="324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AFA2842E">
      <w:start w:val="1"/>
      <w:numFmt w:val="bullet"/>
      <w:lvlText w:val="▪"/>
      <w:lvlJc w:val="left"/>
      <w:pPr>
        <w:ind w:left="396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4288D02E">
      <w:start w:val="1"/>
      <w:numFmt w:val="bullet"/>
      <w:lvlText w:val="•"/>
      <w:lvlJc w:val="left"/>
      <w:pPr>
        <w:ind w:left="468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30382B3A">
      <w:start w:val="1"/>
      <w:numFmt w:val="bullet"/>
      <w:lvlText w:val="o"/>
      <w:lvlJc w:val="left"/>
      <w:pPr>
        <w:ind w:left="540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EB8FC72">
      <w:start w:val="1"/>
      <w:numFmt w:val="bullet"/>
      <w:lvlText w:val="▪"/>
      <w:lvlJc w:val="left"/>
      <w:pPr>
        <w:ind w:left="6121"/>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2D6008E2"/>
    <w:multiLevelType w:val="multilevel"/>
    <w:tmpl w:val="D92640D8"/>
    <w:lvl w:ilvl="0">
      <w:start w:val="6"/>
      <w:numFmt w:val="decimal"/>
      <w:lvlText w:val="%1."/>
      <w:lvlJc w:val="left"/>
      <w:pPr>
        <w:ind w:left="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11"/>
      <w:numFmt w:val="decimal"/>
      <w:lvlText w:val="%1.%2."/>
      <w:lvlJc w:val="left"/>
      <w:pPr>
        <w:ind w:left="73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0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18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52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24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396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68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401"/>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56E55438"/>
    <w:multiLevelType w:val="hybridMultilevel"/>
    <w:tmpl w:val="EE76CAD8"/>
    <w:lvl w:ilvl="0" w:tplc="9C88B8E0">
      <w:start w:val="1"/>
      <w:numFmt w:val="decimal"/>
      <w:lvlText w:val="%1."/>
      <w:lvlJc w:val="left"/>
      <w:pPr>
        <w:ind w:left="345" w:hanging="360"/>
      </w:pPr>
      <w:rPr>
        <w:rFonts w:hint="default"/>
      </w:rPr>
    </w:lvl>
    <w:lvl w:ilvl="1" w:tplc="04190019" w:tentative="1">
      <w:start w:val="1"/>
      <w:numFmt w:val="lowerLetter"/>
      <w:lvlText w:val="%2."/>
      <w:lvlJc w:val="left"/>
      <w:pPr>
        <w:ind w:left="1065" w:hanging="360"/>
      </w:pPr>
    </w:lvl>
    <w:lvl w:ilvl="2" w:tplc="0419001B" w:tentative="1">
      <w:start w:val="1"/>
      <w:numFmt w:val="lowerRoman"/>
      <w:lvlText w:val="%3."/>
      <w:lvlJc w:val="right"/>
      <w:pPr>
        <w:ind w:left="1785" w:hanging="180"/>
      </w:pPr>
    </w:lvl>
    <w:lvl w:ilvl="3" w:tplc="0419000F" w:tentative="1">
      <w:start w:val="1"/>
      <w:numFmt w:val="decimal"/>
      <w:lvlText w:val="%4."/>
      <w:lvlJc w:val="left"/>
      <w:pPr>
        <w:ind w:left="2505" w:hanging="360"/>
      </w:pPr>
    </w:lvl>
    <w:lvl w:ilvl="4" w:tplc="04190019" w:tentative="1">
      <w:start w:val="1"/>
      <w:numFmt w:val="lowerLetter"/>
      <w:lvlText w:val="%5."/>
      <w:lvlJc w:val="left"/>
      <w:pPr>
        <w:ind w:left="3225" w:hanging="360"/>
      </w:pPr>
    </w:lvl>
    <w:lvl w:ilvl="5" w:tplc="0419001B" w:tentative="1">
      <w:start w:val="1"/>
      <w:numFmt w:val="lowerRoman"/>
      <w:lvlText w:val="%6."/>
      <w:lvlJc w:val="right"/>
      <w:pPr>
        <w:ind w:left="3945" w:hanging="180"/>
      </w:pPr>
    </w:lvl>
    <w:lvl w:ilvl="6" w:tplc="0419000F" w:tentative="1">
      <w:start w:val="1"/>
      <w:numFmt w:val="decimal"/>
      <w:lvlText w:val="%7."/>
      <w:lvlJc w:val="left"/>
      <w:pPr>
        <w:ind w:left="4665" w:hanging="360"/>
      </w:pPr>
    </w:lvl>
    <w:lvl w:ilvl="7" w:tplc="04190019" w:tentative="1">
      <w:start w:val="1"/>
      <w:numFmt w:val="lowerLetter"/>
      <w:lvlText w:val="%8."/>
      <w:lvlJc w:val="left"/>
      <w:pPr>
        <w:ind w:left="5385" w:hanging="360"/>
      </w:pPr>
    </w:lvl>
    <w:lvl w:ilvl="8" w:tplc="0419001B" w:tentative="1">
      <w:start w:val="1"/>
      <w:numFmt w:val="lowerRoman"/>
      <w:lvlText w:val="%9."/>
      <w:lvlJc w:val="right"/>
      <w:pPr>
        <w:ind w:left="6105" w:hanging="180"/>
      </w:pPr>
    </w:lvl>
  </w:abstractNum>
  <w:abstractNum w:abstractNumId="6" w15:restartNumberingAfterBreak="0">
    <w:nsid w:val="779B38B2"/>
    <w:multiLevelType w:val="multilevel"/>
    <w:tmpl w:val="9B42C2D0"/>
    <w:lvl w:ilvl="0">
      <w:start w:val="1"/>
      <w:numFmt w:val="decimal"/>
      <w:lvlText w:val="%1."/>
      <w:lvlJc w:val="left"/>
      <w:pPr>
        <w:ind w:left="1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1">
      <w:start w:val="3"/>
      <w:numFmt w:val="decimal"/>
      <w:lvlText w:val="%1.%2."/>
      <w:lvlJc w:val="left"/>
      <w:pPr>
        <w:ind w:left="1027"/>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2">
      <w:start w:val="1"/>
      <w:numFmt w:val="lowerRoman"/>
      <w:lvlText w:val="%3"/>
      <w:lvlJc w:val="left"/>
      <w:pPr>
        <w:ind w:left="10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16"/>
        <w:szCs w:val="16"/>
        <w:u w:val="none" w:color="000000"/>
        <w:bdr w:val="none" w:sz="0" w:space="0" w:color="auto"/>
        <w:shd w:val="clear" w:color="auto" w:fill="auto"/>
        <w:vertAlign w:val="baseline"/>
      </w:rPr>
    </w:lvl>
  </w:abstractNum>
  <w:num w:numId="1">
    <w:abstractNumId w:val="6"/>
  </w:num>
  <w:num w:numId="2">
    <w:abstractNumId w:val="1"/>
  </w:num>
  <w:num w:numId="3">
    <w:abstractNumId w:val="3"/>
  </w:num>
  <w:num w:numId="4">
    <w:abstractNumId w:val="2"/>
  </w:num>
  <w:num w:numId="5">
    <w:abstractNumId w:val="0"/>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0"/>
  <w:doNotDisplayPageBoundaries/>
  <w:mirrorMargins/>
  <w:proofState w:spelling="clean" w:grammar="clean"/>
  <w:defaultTabStop w:val="708"/>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A20"/>
    <w:rsid w:val="000C4FDF"/>
    <w:rsid w:val="00127CFE"/>
    <w:rsid w:val="00137E67"/>
    <w:rsid w:val="001A181F"/>
    <w:rsid w:val="001A5870"/>
    <w:rsid w:val="001D6A20"/>
    <w:rsid w:val="00213C5A"/>
    <w:rsid w:val="002C6B72"/>
    <w:rsid w:val="00307CC6"/>
    <w:rsid w:val="003B5E87"/>
    <w:rsid w:val="003E3126"/>
    <w:rsid w:val="003F66A4"/>
    <w:rsid w:val="00412B8F"/>
    <w:rsid w:val="00553A19"/>
    <w:rsid w:val="0059411D"/>
    <w:rsid w:val="005A2B62"/>
    <w:rsid w:val="00645292"/>
    <w:rsid w:val="006E2E5B"/>
    <w:rsid w:val="00701A43"/>
    <w:rsid w:val="007D4E0E"/>
    <w:rsid w:val="008A460D"/>
    <w:rsid w:val="009D5DBB"/>
    <w:rsid w:val="00A54B46"/>
    <w:rsid w:val="00C03BBB"/>
    <w:rsid w:val="00D04F22"/>
    <w:rsid w:val="00D730BA"/>
    <w:rsid w:val="00EA2801"/>
    <w:rsid w:val="00F11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D49F7"/>
  <w15:docId w15:val="{DB9020EF-EAB8-497B-B1F0-51FE47ECA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7" w:line="393" w:lineRule="auto"/>
      <w:ind w:left="10" w:hanging="10"/>
      <w:jc w:val="both"/>
    </w:pPr>
    <w:rPr>
      <w:rFonts w:ascii="Times New Roman" w:eastAsia="Times New Roman" w:hAnsi="Times New Roman" w:cs="Times New Roman"/>
      <w:color w:val="000000"/>
      <w:sz w:val="16"/>
    </w:rPr>
  </w:style>
  <w:style w:type="paragraph" w:styleId="1">
    <w:name w:val="heading 1"/>
    <w:next w:val="a"/>
    <w:link w:val="10"/>
    <w:uiPriority w:val="9"/>
    <w:unhideWhenUsed/>
    <w:qFormat/>
    <w:pPr>
      <w:keepNext/>
      <w:keepLines/>
      <w:spacing w:after="170"/>
      <w:ind w:left="4114"/>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167" w:line="265" w:lineRule="auto"/>
      <w:ind w:left="10" w:hanging="10"/>
      <w:outlineLvl w:val="1"/>
    </w:pPr>
    <w:rPr>
      <w:rFonts w:ascii="Times New Roman" w:eastAsia="Times New Roman" w:hAnsi="Times New Roman" w:cs="Times New Roman"/>
      <w:b/>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Times New Roman" w:eastAsia="Times New Roman" w:hAnsi="Times New Roman" w:cs="Times New Roman"/>
      <w:b/>
      <w:color w:val="000000"/>
      <w:sz w:val="32"/>
    </w:rPr>
  </w:style>
  <w:style w:type="character" w:customStyle="1" w:styleId="20">
    <w:name w:val="Заголовок 2 Знак"/>
    <w:link w:val="2"/>
    <w:rPr>
      <w:rFonts w:ascii="Times New Roman" w:eastAsia="Times New Roman" w:hAnsi="Times New Roman" w:cs="Times New Roman"/>
      <w:b/>
      <w:color w:val="000000"/>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footer"/>
    <w:basedOn w:val="a"/>
    <w:link w:val="a4"/>
    <w:uiPriority w:val="99"/>
    <w:unhideWhenUsed/>
    <w:rsid w:val="00137E67"/>
    <w:pPr>
      <w:tabs>
        <w:tab w:val="center" w:pos="4677"/>
        <w:tab w:val="right" w:pos="9355"/>
      </w:tabs>
      <w:spacing w:after="0" w:line="240" w:lineRule="auto"/>
    </w:pPr>
  </w:style>
  <w:style w:type="character" w:customStyle="1" w:styleId="a4">
    <w:name w:val="Нижний колонтитул Знак"/>
    <w:basedOn w:val="a0"/>
    <w:link w:val="a3"/>
    <w:uiPriority w:val="99"/>
    <w:rsid w:val="00137E67"/>
    <w:rPr>
      <w:rFonts w:ascii="Times New Roman" w:eastAsia="Times New Roman" w:hAnsi="Times New Roman" w:cs="Times New Roman"/>
      <w:color w:val="000000"/>
      <w:sz w:val="16"/>
    </w:rPr>
  </w:style>
  <w:style w:type="paragraph" w:styleId="a5">
    <w:name w:val="header"/>
    <w:basedOn w:val="a"/>
    <w:link w:val="a6"/>
    <w:uiPriority w:val="99"/>
    <w:semiHidden/>
    <w:unhideWhenUsed/>
    <w:rsid w:val="00137E67"/>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137E67"/>
    <w:rPr>
      <w:rFonts w:ascii="Times New Roman" w:eastAsia="Times New Roman" w:hAnsi="Times New Roman" w:cs="Times New Roman"/>
      <w:color w:val="000000"/>
      <w:sz w:val="16"/>
    </w:rPr>
  </w:style>
  <w:style w:type="table" w:styleId="a7">
    <w:name w:val="Table Grid"/>
    <w:basedOn w:val="a1"/>
    <w:uiPriority w:val="39"/>
    <w:rsid w:val="001A181F"/>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rmal (Web)"/>
    <w:basedOn w:val="a"/>
    <w:uiPriority w:val="99"/>
    <w:semiHidden/>
    <w:unhideWhenUsed/>
    <w:rsid w:val="001A5870"/>
    <w:pPr>
      <w:spacing w:before="100" w:beforeAutospacing="1" w:after="100" w:afterAutospacing="1" w:line="240" w:lineRule="auto"/>
      <w:ind w:left="0" w:firstLine="0"/>
      <w:jc w:val="left"/>
    </w:pPr>
    <w:rPr>
      <w:color w:val="auto"/>
      <w:sz w:val="24"/>
      <w:szCs w:val="24"/>
    </w:rPr>
  </w:style>
  <w:style w:type="character" w:customStyle="1" w:styleId="structures">
    <w:name w:val="structures"/>
    <w:basedOn w:val="a0"/>
    <w:rsid w:val="001A58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1510</Words>
  <Characters>8611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O R R Y</dc:creator>
  <cp:keywords/>
  <cp:lastModifiedBy>Dilorom Matkarimova</cp:lastModifiedBy>
  <cp:revision>3</cp:revision>
  <dcterms:created xsi:type="dcterms:W3CDTF">2025-01-08T13:22:00Z</dcterms:created>
  <dcterms:modified xsi:type="dcterms:W3CDTF">2025-01-09T05:22:00Z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6" w:kind="category" w:type="string" w:valueMode="normal" w:required="false" w:groupID="6">
    <w:identifier xml:space="preserve">ID6</w:identifier>
    <w:name xml:space="preserve">Taraflar</w:name>
    <w:value w:hidden="true">
      <w:unit w:active="false"/>
    </w:value>
  </w:element>
  <w:element w:id="7" w:kind="variable" w:type="string" w:valueMode="normal" w:required="false" w:groupID="6">
    <w:identifier xml:space="preserve">ID7</w:identifier>
    <w:name xml:space="preserve">Sugʻurta kompaniyasining nomi</w:name>
    <w:value w:hidden="false">
      <w:unit w:active="false"/>
    </w:value>
  </w:element>
  <w:element w:id="8" w:kind="variable" w:type="string" w:valueMode="normal" w:required="false" w:groupID="6">
    <w:identifier xml:space="preserve">ID8</w:identifier>
    <w:name xml:space="preserve">Sugʻurta kompaniyasiga shartnoma tuzish huquqini beruvchi hujjat</w:name>
    <w:value w:hidden="false">
      <w:unit w:active="false"/>
    </w:value>
  </w:element>
  <w:element w:id="9" w:kind="variable" w:type="string" w:valueMode="normal" w:required="false" w:groupID="6">
    <w:identifier xml:space="preserve">ID9</w:identifier>
    <w:name xml:space="preserve">Sugʻurta kompaniyasi rahbari F.I.O</w:name>
    <w:value w:hidden="false">
      <w:unit w:active="false"/>
    </w:value>
  </w:element>
  <w:element w:id="10" w:kind="variable" w:type="string" w:valueMode="normal" w:required="false" w:groupID="6">
    <w:identifier xml:space="preserve">ID10</w:identifier>
    <w:name xml:space="preserve">Sugʻurta qildiruvchi tashkilotning nomi</w:name>
    <w:value w:hidden="false">
      <w:unit w:active="false"/>
    </w:value>
  </w:element>
  <w:element w:id="11" w:kind="variable" w:type="string" w:valueMode="normal" w:required="false" w:groupID="6">
    <w:identifier xml:space="preserve">ID11</w:identifier>
    <w:name xml:space="preserve">Sug‘urta qildiruvchiga shartnoma tuzish huquqini beruvchi hujjat</w:name>
    <w:value w:hidden="false">
      <w:unit w:active="false"/>
    </w:value>
  </w:element>
  <w:element w:id="12" w:kind="variable" w:type="string" w:valueMode="normal" w:required="false" w:groupID="6">
    <w:identifier xml:space="preserve">ID12</w:identifier>
    <w:name xml:space="preserve">Sug‘urta qildiruvchi tashkilot rahbarining F.I.O</w:name>
    <w:value w:hidden="false">
      <w:unit w:active="false"/>
    </w:value>
  </w:element>
  <w:element w:id="13" w:kind="category" w:type="string" w:valueMode="normal" w:required="false" w:groupID="13">
    <w:identifier xml:space="preserve">ID13</w:identifier>
    <w:name xml:space="preserve">Shartnoma shartlari</w:name>
    <w:value w:hidden="true">
      <w:unit w:active="false"/>
    </w:value>
  </w:element>
  <w:element w:id="14" w:kind="variable" w:type="string" w:valueMode="normal" w:required="false" w:groupID="13">
    <w:identifier xml:space="preserve">ID14</w:identifier>
    <w:name xml:space="preserve">Sug‘urta qilinayotgan shaxsning sug‘urta obyektlari nomi</w:name>
    <w:value w:hidden="false">
      <w:unit w:active="false"/>
    </w:value>
  </w:element>
  <w:element w:id="15" w:kind="variable" w:type="string" w:valueMode="normal" w:required="false" w:groupID="13">
    <w:identifier xml:space="preserve">ID15</w:identifier>
    <w:name xml:space="preserve">Ushbu shartnoma bo‘yicha sug‘urta hodisalari nomi</w:name>
    <w:value w:hidden="false">
      <w:unit w:active="false"/>
    </w:value>
  </w:element>
  <w:element w:id="16" w:kind="variable" w:type="string" w:valueMode="normal" w:required="false" w:groupID="13">
    <w:identifier xml:space="preserve">ID16</w:identifier>
    <w:name xml:space="preserve">Sug‘urtalangan shaxs uchun sug‘urta summasi miqdori</w:name>
    <w:value w:hidden="false">
      <w:unit w:active="false"/>
    </w:value>
  </w:element>
  <w:element w:id="17" w:kind="variable" w:type="string" w:valueMode="normal" w:required="false" w:groupID="13">
    <w:identifier xml:space="preserve">ID17</w:identifier>
    <w:name xml:space="preserve">Shartnomaning amal qilish muddati</w:name>
    <w:value w:hidden="false">
      <w:unit w:active="false"/>
    </w:value>
  </w:element>
  <w:element w:id="18" w:kind="category" w:type="string" w:valueMode="normal" w:required="false" w:groupID="18">
    <w:identifier xml:space="preserve">ID18</w:identifier>
    <w:name xml:space="preserve">Taraflarning rekvizitlari</w:name>
    <w:value w:hidden="true">
      <w:unit w:active="false"/>
    </w:value>
  </w:element>
  <w:element w:id="19" w:kind="variable" w:type="string" w:valueMode="normal" w:required="false" w:groupID="18">
    <w:identifier xml:space="preserve">ID19</w:identifier>
    <w:name xml:space="preserve">Sugʻurta kompaniyasining yuridik manzili</w:name>
    <w:value w:hidden="false">
      <w:unit w:active="false"/>
    </w:value>
  </w:element>
  <w:element w:id="20" w:kind="variable" w:type="string" w:valueMode="normal" w:required="false" w:groupID="18">
    <w:identifier xml:space="preserve">ID20</w:identifier>
    <w:name xml:space="preserve">Sugʻurta kompaniyasining hisob raqami</w:name>
    <w:value w:hidden="false">
      <w:unit w:active="false"/>
    </w:value>
  </w:element>
  <w:element w:id="21" w:kind="variable" w:type="string" w:valueMode="normal" w:required="false" w:groupID="18">
    <w:identifier xml:space="preserve">ID21</w:identifier>
    <w:name xml:space="preserve">Sugʻurta kompaniyasining bank kodi</w:name>
    <w:value w:hidden="false">
      <w:unit w:active="false"/>
    </w:value>
  </w:element>
  <w:element w:id="22" w:kind="variable" w:type="string" w:valueMode="normal" w:required="false" w:groupID="18">
    <w:identifier xml:space="preserve">ID22</w:identifier>
    <w:name xml:space="preserve">Sugʻurta kompaniyasining STIR raqami</w:name>
    <w:value w:hidden="false">
      <w:unit w:active="false"/>
    </w:value>
  </w:element>
  <w:element w:id="23" w:kind="variable" w:type="string" w:valueMode="normal" w:required="false" w:groupID="18">
    <w:identifier xml:space="preserve">ID23</w:identifier>
    <w:name xml:space="preserve">Sugʻurta kompaniyasi bilan bog‘lanish uchun telefon raqami</w:name>
    <w:value w:hidden="false">
      <w:unit w:active="false"/>
    </w:value>
  </w:element>
  <w:element w:id="27" w:kind="variable" w:type="string" w:valueMode="normal" w:required="false" w:groupID="18">
    <w:identifier xml:space="preserve">ID27</w:identifier>
    <w:name xml:space="preserve">Sug‘urta qildiruvchining manzili</w:name>
    <w:value w:hidden="false">
      <w:unit w:active="false"/>
    </w:value>
  </w:element>
  <w:element w:id="28" w:kind="variable" w:type="string" w:valueMode="normal" w:required="false" w:groupID="18">
    <w:identifier xml:space="preserve">ID28</w:identifier>
    <w:name xml:space="preserve">Sug‘urta qildiruvchining hisob raqami</w:name>
    <w:value w:hidden="false">
      <w:unit w:active="false"/>
    </w:value>
  </w:element>
  <w:element w:id="29" w:kind="variable" w:type="string" w:valueMode="normal" w:required="false" w:groupID="18">
    <w:identifier xml:space="preserve">ID29</w:identifier>
    <w:name xml:space="preserve">Sug‘urta qildiruvchining bank kodi</w:name>
    <w:value w:hidden="false">
      <w:unit w:active="false"/>
    </w:value>
  </w:element>
  <w:element w:id="30" w:kind="variable" w:type="string" w:valueMode="normal" w:required="false" w:groupID="18">
    <w:identifier xml:space="preserve">ID30</w:identifier>
    <w:name xml:space="preserve">Sug‘urta qildiruvchining STIR raqami</w:name>
    <w:value w:hidden="false">
      <w:unit w:active="false"/>
    </w:value>
  </w:element>
  <w:element w:id="31" w:kind="variable" w:type="string" w:valueMode="normal" w:required="false" w:groupID="18">
    <w:identifier xml:space="preserve">ID31</w:identifier>
    <w:name xml:space="preserve">Sug‘urta qildiruvchi bilan bog‘lanish uchun telefon raqam</w:name>
    <w:value w:hidden="false">
      <w:unit w:active="false"/>
    </w:value>
  </w:element>
</w:structure>
</file>