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firstLine="405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Bolalarni tarbiyalash uchun oilaga qabul qilish toʻgʻrisida</w:t>
      </w:r>
    </w:p>
    <w:p>
      <w:pPr>
        <w:jc w:val="center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NAMUNAVIY BITIM</w:t>
      </w:r>
    </w:p>
    <w:p>
      <w:pPr>
        <w:jc w:val="center"/>
        <w:ind w:right="-589"/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center"/>
        <w:ind w:right="-58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Bitim tuzilgan sana</w:t>
        <w:fldChar w:fldCharType="end"/>
      </w:r>
      <w:r>
        <w:rPr>
          <w:color w:val="ff0000"/>
          <w:sz w:val="24"/>
          <w:rFonts w:ascii="Times New Roman" w:hAnsi="Times New Roman"/>
        </w:rPr>
        <w:t xml:space="preserve">                         </w:t>
      </w:r>
      <w:r>
        <w:rPr>
          <w:color w:val="000000"/>
          <w:sz w:val="24"/>
          <w:rFonts w:ascii="Times New Roman" w:hAnsi="Times New Roman"/>
        </w:rPr>
        <w:t xml:space="preserve">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Bitim raqami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-son                        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Bitim tuzilgan hudud</w:t>
        <w:fldChar w:fldCharType="end"/>
      </w:r>
    </w:p>
    <w:p>
      <w:pPr>
        <w:jc w:val="both"/>
        <w:ind w:right="697"/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Xalq taʼlimi bo‘limi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nomidan nizom asosida faoliyat yurituvchi boʻlim mudiri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Xalq taʼlimi bo‘limi nomidan nizom asosida faoliyat yurituvchi shaxsning F.I.O.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(bundan buyon matnda Vasiylik va homiylik organi deb yuritiladi) bir tomondan, fuqaro(lar)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Er-xotin yoki alohida fuqaroning F.I.O.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Er-xotin yoki alohida fuqaroning yashash manzili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Er-xotin yoki alohida fuqaroning pasport maʼlumotlari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Oilaviy sharoitini qisqacha tavsifi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(bundan buyon matnda Tutingan ota-onalar deb yuritiladi) ikkinchi tomondan, birgalikda Tomonlar deb yuritiladi, mazkur Bitimni quyidagilar haqida tuzdilar:</w:t>
      </w:r>
    </w:p>
    <w:p>
      <w:pPr>
        <w:jc w:val="center"/>
        <w:ind w:right="-613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1-bob. Bitim predmetis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1. Vasiylik va homiylik organi ota-ona qaramogʻidan mahrum boʻlgan voyaga yetmagan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Ota-ona qaramog‘idan mahrum bo‘lgan voyaga yetmagan shaxsning tug‘ilgan sanasi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da tugʻilgan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Voyaga yetmagan shaxsning F.I.O.</w:t>
        <w:fldChar w:fldCharType="end"/>
      </w:r>
      <w:r>
        <w:rPr>
          <w:color w:val="000000"/>
          <w:sz w:val="24"/>
          <w:rFonts w:ascii="Times New Roman" w:hAnsi="Times New Roman"/>
        </w:rPr>
        <w:t xml:space="preserve">ning (bundan buyon matnda Tutingan bola deb yuritiladi) huquqlari va qonuniy manfaatlarini taʼminlagan holda Tutingan ota-onalarga tarbiyalash uchun topshirish majburiyatini, Tutingan ota-onalar esa mazkur Bitim shartlariga asosan Tutingan bolaning barcha huquqlarini taʼminlagan holda tarbiyalash uchun oilaga qabul qilib olish majburiyatini oladi.</w:t>
      </w:r>
    </w:p>
    <w:p>
      <w:pPr>
        <w:jc w:val="center"/>
        <w:ind w:right="-613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2-bob. Umumiy shartlar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2. Tutingan bolani oilaga tarbiyaga olish (patronat) amaldagi nizom talablariga muvofiq amalga oshiriladi.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3. Tutingan ota-onalar tomonidan Tutingan bolani oilaga tarbiyaga olish ota-ona qaramogʻidan mahrum boʻlgan bolalarni joylashtirish shakllaridan biri hisoblanadi.</w:t>
      </w:r>
    </w:p>
    <w:p>
      <w:pPr>
        <w:jc w:val="center"/>
        <w:ind w:right="-613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3-bob. Tomonlarning huquqlari va majburiyatlari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4. Vasiylik va homiylik organi quyidagi huquqlarga ega: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a) mazkur Bitimning 16-bandida belgilangan asoslar mavjud boʻlganda uni muddatidan oldin bekor qilish;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b) Tutingan bolaning manfaatlari yoʻlida istalgan vaqtda bolaning sogʻligʻi, taʼlim-tarbiyasi va turmush sharoitini borib oʻrganish;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v) Tutingan ota-onalardan oʻz majburiyatlarining bajarilishi toʻgʻrisida hamda Tutingan bola uchun sotib olingan kiyim-bosh va poyabzal boʻyicha hisobotlarni qabul qilish;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g) Tutingan ota-onalar oʻz huquqlaridan gʻarazgoʻylik yoki boshqa niyatlarda, Tutingan bolaga zarar keltirgan holda foydalansalar, shuningdek, uni nazoratsiz hamda zarur moddiy yordamsiz qoldirsalar, ularni qonunda belgilangan tartibda javobgarlikka tortish masalasini qoʻzgʻatish;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d) mazkur Bitim boʻyicha kelib chiqadigan nizolar yuzasidan sudda ishtirok etish.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5. Vasiylik va homiylik organining majburiyatlari: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a) bir yilda kamida ikki marta Tutingan bolaning turmush sharoitlarini va tarbiyalanishini borib oʻrganish;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b) Tutingan ota-onalarni sogʻligʻi toʻgʻrisidagi maʼlumotlarni yangilash lozimligi haqida joriy yil tugashidan bir oy oldin ogohlantirish;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v) qonun hujjatlarida belgilangan tartibda Tutingan bolani har yili bir marta kiyim-bosh va poyabzal bilan taʼminlash va Tutingan ota-onalarga har oyda nafaqa toʻlab borish choralarini koʻrish;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g) mazkur Bitim tuzilayotganda Tutingan ota-onalarga oilaga tarbiyalash uchun berilgan bolalarni kiyim-bosh, poyabzal bilan taʼminlash hamda ularga belgilangan tartibda har oylik nafaqa toʻlash tartiblarini tushuntirish.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6. Tutingan ota-onalar quyidagi huquqlarga ega: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a) mazkur Bitimning 15-bandi ikkinchi xatboshisida koʻrsatilgan hollarda uni muddatidan oldin bekor qilish yuzasidan Vasiylik va homiylik organiga murojaat qilish;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b) Tutingan bolaga nisbatan vasiy (homiy) huquqlariga ega boʻlish;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v) Tutingan bola nomidan hamda uning manfaatlarini koʻzlab qonun hujjatlari talablariga zid boʻlmagan barcha zarur bitimlarni tuzish;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g) Tutingan bolaga kiyim-bosh va poyabzal sotib olish uchun ajratilgan mablagʻlarni naqd pul shaklida yoki bank plastik kartasiga pul oʻtkazish yoʻli bilan olish;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d) Tutingan bolaning manfaatlari yoʻlida sarflash uchun bazaviy hisoblash miqdorining uch baravari miqdorida har oylik nafaqa olish.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7. Tutingan ota-onalarning majburiyatlari: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a) Tutingan bolaga nisbatan vasiy (homiy) majburiyatlarini bajarish;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b) qonuniy vakil sifatida Tutingan bolaning huquqlari, erkinliklari va qonuniy manfaatlarini himoya qilish, unga oʻz huquqlarini amalga oshirishda koʻmaklashish va shart-sharoitlar yaratib berish;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v) Tutingan bolani keyingi yil uchun zarur boʻlgan kiyim-bosh va poyabzal bilan taʼminlash maqsadida joriy yilning 15-dekabrigacha Vasiylik va homiylik organiga buyurtma taqdim etish;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g) oʻz majburiyatlarining bajarilishi toʻgʻrisida hamda Tutingan bola uchun sotib olingan kiyim-bosh va poyabzal boʻyicha hisobotlarni har yili 10-yanvargacha Vasiylik va homiylik organiga taqdim etish;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d) Tutingan bola uchun sotib olingan kiyim-bosh va poyabzal boʻyicha hisobot bilan birga mazkur mahsulotlarning sotib olinganligini tasdiqlovchi hujjatlarni (kassa cheki yoxud tovarga haq toʻlanganligini tasdiqlaydigan chekka tenglashtirilgan hujjat) taqdim etish;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ye) oʻzining sogʻligʻi toʻgʻrisidagi maʼlumotlarni har yili 10-yanvargacha Vasiylik va homiylik organiga taqdim etish.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8. Tomonlar qonun hujjatlariga muvofiq boshqa huquqlar va majburiyatlarga ham ega boʻlishi mumkin.</w:t>
      </w:r>
    </w:p>
    <w:p>
      <w:pPr>
        <w:jc w:val="center"/>
        <w:ind w:right="-613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4-bob. Tutingan bolani taʼminlash, tarbiyalash va taʼlim berish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9. Tutingan bolani taʼminlash, tarbiyalash va uning taʼlim olishi uchun zarur shart-sharoitlar yaratish Tutingan ota-onalar tomonidan amalga oshiriladi.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10. Tutingan bola tarbiyalanayotgan oiladagi bolalarning umumiy soni, oʻz bolalari va Tutingan bolalar bilan birgalikda, qoida tariqasida, 8 nafardan oshmasligi kerak.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11. Oilaga tarbiyalash uchun berilgan (patronat) bolalar har yili bir marta kiyim-bosh, poyabzal bilan taʼminlanadi. Tutingan ota-onalarga Tutingan bolaning manfaatlari yoʻlida sarflash uchun bazaviy hisoblash miqdorining uch baravari miqdorida har oylik nafaqa toʻlanadi.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12. Tutingan ota-onalar Tutingan bolaning taʼminoti, unga taʼlim-tarbiya berish va uning sogʻligʻini saqlash boʻyicha tegishli davlat organlari va muassasalaridan huquqiy, metodik, diagnostika va maslahat yordami olishi mumkin. 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13. Tutingan ota-onalar Tutingan bolaning taʼlim olishi uchun barcha zarur shart-sharoitlarni taʼminlaydi.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14. Tutingan ota-onalar Tutingan bolaning sogʻligʻi, jismoniy, ruhiy, maʼnaviy va axloqiy kamoloti haqida gʻamxoʻrlik qiladi.</w:t>
      </w:r>
    </w:p>
    <w:p>
      <w:pPr>
        <w:jc w:val="center"/>
        <w:ind w:right="-613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5-bob. Bitimni bekor qilish asoslari va oqibatlari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15. Bitim quyidagi hollarda muddatidan oldin bekor qilinishi mumkin:</w:t>
      </w:r>
    </w:p>
    <w:p>
      <w:pPr>
        <w:jc w:val="both"/>
        <w:ind w:right="-613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uzrli sabablar (kasalligi, oilaviy yoki mulkiy mavqeining oʻzgarishi, Tutingan bola bilan oʻzaro bir-birini tushunmaslik va boshqa sabablar) mavjud boʻlsa, Tutingan ota-ona tashabbusi bilan;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Vasiylik va homiylik organining tashabbusi bilan;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Tutingan bola ota-onasiga qaytarilganda;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Tutingan bola farzandlikka olinganda.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16. Mazkur Bitim quyidagi hollarda Vasiylik va homiylik organining tashabbusi bilan bekor qilinishi mumkin: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Tutingan ota-ona bundan keyin Tutingan ota-ona vazifasini bajarishiga toʻsqinlik qiluvchi holatlar paydo boʻlsa;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Tutingan bolaning turmush sharoitlarini va tarbiyalanishini kuzatib borish jarayonida Tutingan ota-ona mazkur Bitim shartlariga rioya qilmayotganligi aniqlansa.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17. Mazkur Bitimni Tutingan ota-ona tashabbusi bilan bekor qilish ularning arizasi asosida uch kun ichida Vasiylik va homiylik organi rahbarining buyrugʻi bilan rasmiylashtiriladi.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18. Mazkur Bitimning 15-bandi uchinchi – beshinchi xatboshilarida nazarda tutilgan hollarda Bitimni bekor qilish Tutingan ota-onalarni kamida bir hafta oldin yozma ravishda ogohlantirgan holda Vasiylik va homiylik organi rahbarining buyrugʻi bilan rasmiylashtiriladi.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19. Mazkur Bitim bekor qilingan kundan boshlab Tutingan ota-ona Tutingan bolaga nisbatan huquqlari va majburiyatlarini yoʻqotadi, Tutingan ota-ona orqali Tutingan bolani zarur kiyim-bosh va poyabzal bilan taʼminlash hamda uning manfaatlari yoʻlida sarflash uchun har oylik nafaqa toʻlash toʻxtatiladi. Bunda Tutingan bola uchun kiyim-bosh va poyabzal sotib olishga ajratilgan mablagʻlar hisobidan xarid qilingan ashyolar Tutingan bolaning oʻzida qoldiriladi.</w:t>
      </w:r>
    </w:p>
    <w:p>
      <w:pPr>
        <w:jc w:val="both"/>
        <w:ind w:firstLine="540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20. Mazkur Bitim uning 15-bandi ikkinchi va uchinchi xatboshilarida nazarda tutilgan asoslarga koʻra bekor qilingan hollarda Vasiylik va homiylik organi Tutingan bolaning qonuniy manfaatlarini himoya qilish hamda uni joylashtirish choralarini koʻradi.</w:t>
      </w:r>
    </w:p>
    <w:p>
      <w:pPr>
        <w:jc w:val="center"/>
        <w:ind w:right="-613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6-bob. Nizolarni hal qilish</w:t>
      </w:r>
    </w:p>
    <w:p>
      <w:pPr>
        <w:jc w:val="both"/>
        <w:ind w:firstLine="540"/>
        <w:spacing w:after="0" w:line="240" w:lineRule="auto"/>
        <w:tabs>
          <w:tab w:val="left" w:pos="9639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21. Tutingan ota-ona Vasiylik va homiylik organining mazkur Bitimni tuzish, ijro etish, oʻzgartirish va bekor qilish boʻyicha xatti-harakatlari (qarorlari) ustidan qonun hujjatlarida belgilangan tartibda yuqori turuvchi organga yoki sudga shikoyat qilishga haqli.</w:t>
      </w:r>
    </w:p>
    <w:p>
      <w:pPr>
        <w:jc w:val="both"/>
        <w:ind w:firstLine="540"/>
        <w:spacing w:after="0" w:line="240" w:lineRule="auto"/>
        <w:tabs>
          <w:tab w:val="left" w:pos="9639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22. Vasiylik va homiylik organi Tutingan bolaning huquqlari, erkinliklari va qonuniy manfaatlarini himoya qilish masalalari yuzasidan qonun hujjatlarida belgilangan tartibda ariza bilan sudga murojaat qilishga haqli.</w:t>
      </w:r>
    </w:p>
    <w:p>
      <w:pPr>
        <w:jc w:val="center"/>
        <w:ind w:right="-613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7-bob. Yakunlovchi qoidalar</w:t>
      </w:r>
    </w:p>
    <w:p>
      <w:pPr>
        <w:jc w:val="both"/>
        <w:ind w:firstLine="540"/>
        <w:spacing w:after="0" w:line="240" w:lineRule="auto"/>
        <w:tabs>
          <w:tab w:val="left" w:pos="9781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23. Mazkur Bitim imzolangan kundan boshlab kuchga kiradi va Tutingan bola oʻn sakkiz yoshga toʻlguniga qadar amal qiladi.</w:t>
      </w:r>
    </w:p>
    <w:p>
      <w:pPr>
        <w:jc w:val="both"/>
        <w:ind w:firstLine="540"/>
        <w:spacing w:after="0" w:line="240" w:lineRule="auto"/>
        <w:tabs>
          <w:tab w:val="left" w:pos="9781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24. Mazkur Bitimga qonun hujjatlariga oʻzgartirish kiritilishi munosabati bilan va/yoki Tomonlarning kelishuviga muvofiq yozma shaklda oʻzgartirish va qoʻshimchalar kiritilishi mumkin. Bitimning qonun hujjatlari asosida belgilangan shartlari oʻzgartirilishi mumkin emas.</w:t>
      </w:r>
    </w:p>
    <w:p>
      <w:pPr>
        <w:jc w:val="both"/>
        <w:ind w:firstLine="540"/>
        <w:spacing w:after="0" w:line="240" w:lineRule="auto"/>
        <w:tabs>
          <w:tab w:val="left" w:pos="9781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25. Mazkur Bitimda koʻrsatilgan majburiyatlarni bajarmaganligi uchun Tomonlar qonun hujjatlariga muvofiq javobgar boʻladi.</w:t>
      </w:r>
    </w:p>
    <w:p>
      <w:pPr>
        <w:jc w:val="both"/>
        <w:ind w:firstLine="540"/>
        <w:spacing w:after="0" w:line="240" w:lineRule="auto"/>
        <w:tabs>
          <w:tab w:val="left" w:pos="9781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26. Mazkur Bitim ikki nusxada tuziladi, Vasiylik va homiylik organi hamda Tutingan ota-onalarda bir nusxadan saqlanadi.</w:t>
      </w:r>
    </w:p>
    <w:p>
      <w:pPr>
        <w:jc w:val="both"/>
        <w:spacing w:after="0" w:line="240" w:lineRule="auto"/>
        <w:rPr>
          <w:b/>
          <w:color w:val="000000"/>
          <w:sz w:val="24"/>
          <w:rFonts w:ascii="Times New Roman" w:hAnsi="Times New Roman"/>
        </w:rPr>
      </w:pPr>
    </w:p>
    <w:p>
      <w:pPr>
        <w:jc w:val="center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8-bob. Tomonlarning yuridik manzillari va boshqa rekvizitlari</w:t>
      </w:r>
    </w:p>
    <w:tbl>
      <w:tblPr>
        <w:tblStyle w:val="a4"/>
        <w:tblW w:w="10648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5529"/>
        <w:gridCol w:w="5119"/>
      </w:tblGrid>
      <w:tr>
        <w:tc>
          <w:tcPr>
            <w:tcW w:w="5529" w:type="dxa"/>
          </w:tcPr>
          <w:p/>
          <w:p>
            <w:pPr>
              <w:jc w:val="center"/>
              <w:ind w:hanging="1440"/>
              <w:rPr>
                <w:b/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 xml:space="preserve">Tutingan ota-onalar </w:t>
            </w:r>
          </w:p>
          <w:p>
            <w:pPr>
              <w:jc w:val="center"/>
              <w:ind w:hanging="1440"/>
              <w:rPr>
                <w:color w:val="ff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Yashash manzili: 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Tutingan ota-onaning yashash manzili</w:t>
              <w:fldChar w:fldCharType="end"/>
            </w:r>
          </w:p>
          <w:p>
            <w:pPr>
              <w:jc w:val="center"/>
              <w:ind w:hanging="1440"/>
              <w:rPr>
                <w:color w:val="ff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Pasport maʼlumotlari: 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{"Y":16}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Tutingan ota-onaning pasport maʼlumotlari</w:t>
              <w:fldChar w:fldCharType="end"/>
            </w:r>
          </w:p>
          <w:p>
            <w:pPr>
              <w:jc w:val="center"/>
              <w:ind w:hanging="1440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{"Y":17}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Tutingan ota-onaning F.I.O.</w:t>
              <w:fldChar w:fldCharType="end"/>
            </w:r>
          </w:p>
          <w:p>
            <w:pPr>
              <w:jc w:val="center"/>
              <w:ind w:hanging="15"/>
              <w:rPr>
                <w:color w:val="000000"/>
                <w:sz w:val="24"/>
                <w:rFonts w:ascii="Times New Roman" w:hAnsi="Times New Roman"/>
              </w:rPr>
            </w:pPr>
          </w:p>
          <w:p>
            <w:pPr>
              <w:ind w:hanging="15"/>
              <w:rPr>
                <w:color w:val="000000"/>
                <w:sz w:val="24"/>
                <w:rFonts w:ascii="Times New Roman" w:hAnsi="Times New Roman"/>
              </w:rPr>
            </w:pPr>
          </w:p>
          <w:p>
            <w:pPr>
              <w:ind w:hanging="15"/>
              <w:rPr>
                <w:color w:val="000000"/>
                <w:sz w:val="24"/>
                <w:rFonts w:ascii="Times New Roman" w:hAnsi="Times New Roman"/>
              </w:rPr>
            </w:pPr>
          </w:p>
          <w:p>
            <w:pPr>
              <w:ind w:hanging="15"/>
              <w:rPr>
                <w:color w:val="000000"/>
                <w:sz w:val="24"/>
                <w:rFonts w:ascii="Times New Roman" w:hAnsi="Times New Roman"/>
              </w:rPr>
            </w:pPr>
          </w:p>
          <w:p>
            <w:pPr>
              <w:jc w:val="center"/>
              <w:ind w:hanging="1440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>___________________(imzo)</w:t>
            </w:r>
          </w:p>
          <w:p>
            <w:pPr>
              <w:ind w:hanging="1440"/>
              <w:rPr>
                <w:b/>
                <w:color w:val="000000"/>
                <w:sz w:val="24"/>
                <w:rFonts w:ascii="Times New Roman" w:hAnsi="Times New Roman"/>
              </w:rPr>
            </w:pPr>
          </w:p>
        </w:tc>
        <w:tc>
          <w:tcPr>
            <w:tcW w:w="5119" w:type="dxa"/>
          </w:tcPr>
          <w:p>
            <w:pPr>
              <w:jc w:val="center"/>
              <w:ind w:firstLine="177"/>
              <w:rPr>
                <w:b/>
                <w:color w:val="000000"/>
                <w:sz w:val="24"/>
                <w:rFonts w:ascii="Times New Roman" w:hAnsi="Times New Roman"/>
              </w:rPr>
            </w:pPr>
          </w:p>
          <w:p>
            <w:pPr>
              <w:jc w:val="center"/>
              <w:ind w:right="830"/>
              <w:rPr>
                <w:b/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 xml:space="preserve">Vasiylik va homiylik organi</w:t>
            </w:r>
          </w:p>
          <w:p>
            <w:pPr>
              <w:jc w:val="center"/>
              <w:ind w:right="830"/>
              <w:rPr>
                <w:color w:val="ff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Yuridik manzili: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{"Y":18}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Vasiylik va homiylik organining yuridik (joylashgan) manzili</w:t>
              <w:fldChar w:fldCharType="end"/>
            </w:r>
          </w:p>
          <w:p>
            <w:pPr>
              <w:jc w:val="center"/>
              <w:ind w:right="830"/>
              <w:rPr>
                <w:color w:val="ff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Bank rekvizitlari: 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{"Y":19}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Vasiylik va homiylik organining bank rekvizitlari</w:t>
              <w:fldChar w:fldCharType="end"/>
            </w:r>
          </w:p>
          <w:p>
            <w:pPr>
              <w:jc w:val="center"/>
              <w:ind w:right="830"/>
              <w:rPr>
                <w:color w:val="ff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>MFO: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{"Y":20}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Bank raqami</w:t>
              <w:fldChar w:fldCharType="end"/>
            </w:r>
          </w:p>
          <w:p>
            <w:pPr>
              <w:jc w:val="center"/>
              <w:ind w:right="830"/>
              <w:rPr>
                <w:color w:val="ff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STIR: 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{"Y":21}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STIR raqami</w:t>
              <w:fldChar w:fldCharType="end"/>
            </w:r>
          </w:p>
          <w:p>
            <w:pPr>
              <w:jc w:val="center"/>
              <w:ind w:right="830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{"Y":22}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Vasiylik va homiylik organining rahbarining F.I.O.</w:t>
              <w:fldChar w:fldCharType="end"/>
            </w:r>
          </w:p>
          <w:p>
            <w:pPr>
              <w:ind w:right="830"/>
              <w:rPr>
                <w:color w:val="000000"/>
                <w:sz w:val="24"/>
                <w:rFonts w:ascii="Times New Roman" w:hAnsi="Times New Roman"/>
              </w:rPr>
            </w:pPr>
          </w:p>
          <w:p>
            <w:pPr>
              <w:ind w:right="830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_____________________ (imzo, muhr)</w:t>
            </w:r>
          </w:p>
          <w:p>
            <w:pPr>
              <w:ind w:right="830"/>
              <w:rPr>
                <w:b/>
                <w:color w:val="000000"/>
                <w:sz w:val="24"/>
                <w:rFonts w:ascii="Times New Roman" w:hAnsi="Times New Roman"/>
              </w:rPr>
            </w:pPr>
          </w:p>
        </w:tc>
      </w:tr>
    </w:tbl>
    <w:p>
      <w:pPr>
        <w:jc w:val="both"/>
        <w:spacing w:after="0" w:line="240" w:lineRule="auto"/>
        <w:rPr>
          <w:b/>
          <w:color w:val="000000"/>
          <w:sz w:val="24"/>
          <w:rFonts w:ascii="Times New Roman" w:hAnsi="Times New Roman"/>
        </w:rPr>
      </w:pPr>
    </w:p>
    <w:sectPr>
      <w:pgSz w:w="11906" w:h="16838"/>
      <w:pgMar w:left="1440" w:right="1416" w:top="567" w:bottom="1560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C320D2"/>
    <w:multiLevelType w:val="hybridMultilevel"/>
    <w:tmpl w:val="F02C830C"/>
    <w:lvl w:ilvl="0" w:tplc="8D265252">
      <w:start w:val="1"/>
      <w:numFmt w:val="decimal"/>
      <w:lvlText w:val="%1"/>
      <w:lvlJc w:val="left"/>
      <w:pPr>
        <w:ind w:left="1065" w:hanging="705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6D7"/>
    <w:rsid w:val="00006F92"/>
    <w:rsid w:val="000208FE"/>
    <w:rsid w:val="00106F6E"/>
    <w:rsid w:val="001532FF"/>
    <w:rsid w:val="002843C5"/>
    <w:rsid w:val="002D607C"/>
    <w:rsid w:val="002E2101"/>
    <w:rsid w:val="00345750"/>
    <w:rsid w:val="0042321D"/>
    <w:rsid w:val="00456E62"/>
    <w:rsid w:val="004772CF"/>
    <w:rsid w:val="00526B33"/>
    <w:rsid w:val="0058773B"/>
    <w:rsid w:val="00666F59"/>
    <w:rsid w:val="006E5D97"/>
    <w:rsid w:val="007133D5"/>
    <w:rsid w:val="007C11E9"/>
    <w:rsid w:val="008E52C5"/>
    <w:rsid w:val="009A3F47"/>
    <w:rsid w:val="009B31CF"/>
    <w:rsid w:val="009B4134"/>
    <w:rsid w:val="009F16D7"/>
    <w:rsid w:val="009F7348"/>
    <w:rsid w:val="00B50AE0"/>
    <w:rsid w:val="00B80E85"/>
    <w:rsid w:val="00B947C5"/>
    <w:rsid w:val="00C45A0A"/>
    <w:rsid w:val="00E02EA0"/>
    <w:rsid w:val="00E36FB7"/>
    <w:rsid w:val="00EB0B73"/>
    <w:rsid w:val="00EE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z-Cyrl-U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F4D4FE-6E69-409B-A412-B5E0E18BF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z-Cyrl-U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6F59"/>
    <w:pPr>
      <w:ind w:left="720"/>
      <w:contextualSpacing/>
    </w:pPr>
  </w:style>
  <w:style w:type="table" w:styleId="a4">
    <w:name w:val="Table Grid"/>
    <w:basedOn w:val="a1"/>
    <w:uiPriority w:val="39"/>
    <w:rsid w:val="009B3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852987">
          <w:marLeft w:val="80"/>
          <w:marRight w:val="8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15104">
          <w:marLeft w:val="80"/>
          <w:marRight w:val="8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1576</Words>
  <Characters>8984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Ulug'bek Ayubov</dc:creator>
  <cp:keywords/>
  <dc:description/>
  <cp:lastModifiedBy>user</cp:lastModifiedBy>
  <cp:revision>2</cp:revision>
  <dcterms:created xsi:type="dcterms:W3CDTF">2024-02-09T06:48:00Z</dcterms:created>
  <dcterms:modified xsi:type="dcterms:W3CDTF">2024-02-09T06:48:00Z</dcterms:modified>
</cp:coreProperties>
</file>

<file path=legal/structure.xml><?xml version="1.0" encoding="utf-8"?>
<w:structure xmlns:w="http://schemas.openxmlformats.org/wordprocessingml/2006/main">
  <w:element w:id="1" w:kind="variable" w:selector="check" w:type="string" w:valueMode="normal" w:required="false" w:groupID="25">
    <w:identifier xml:space="preserve">ID1</w:identifier>
    <w:name xml:space="preserve">Bitim tuzilgan sana</w:name>
    <w:value w:hidden="false">
      <w:unit w:active="false"/>
    </w:value>
  </w:element>
  <w:element w:id="2" w:kind="variable" w:selector="check" w:type="string" w:valueMode="normal" w:required="false" w:groupID="25">
    <w:identifier xml:space="preserve">ID2</w:identifier>
    <w:name xml:space="preserve">Bitim raqami</w:name>
    <w:value w:hidden="false">
      <w:unit w:active="false"/>
    </w:value>
  </w:element>
  <w:element w:id="3" w:kind="variable" w:selector="check" w:type="string" w:valueMode="normal" w:required="false" w:groupID="25">
    <w:identifier xml:space="preserve">ID3</w:identifier>
    <w:name xml:space="preserve">Bitim tuzilgan hudud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Bitim predmeti va tomonlar to‘g‘risida maʼlumotlar</w:name>
    <w:value w:hidden="true">
      <w:unit w:active="false"/>
    </w:value>
  </w:element>
  <w:element w:id="23" w:kind="variable" w:selector="check" w:type="string" w:valueMode="normal" w:required="false" w:groupID="4">
    <w:identifier xml:space="preserve">ID23</w:identifier>
    <w:name xml:space="preserve">Xalq taʼlimi bo‘limi</w:name>
    <w:comment xml:space="preserve">Xalq taʼlimining tuman (shahar) bo‘limi ko‘rsatiladi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Er-xotin yoki alohida fuqaroning F.I.O.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Xalq taʼlimi bo‘limi nomidan nizom asosida faoliyat yurituvchi shaxsning F.I.O.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Er-xotin yoki alohida fuqaroning yashash manzili</w:name>
    <w:value w:hidden="false">
      <w:unit w:active="false"/>
    </w:value>
  </w:element>
  <w:element w:id="9" w:kind="variable" w:selector="check" w:type="string" w:valueMode="normal" w:required="false" w:groupID="4">
    <w:identifier xml:space="preserve">ID9</w:identifier>
    <w:name xml:space="preserve">Er-xotin yoki alohida fuqaroning pasport maʼlumotlari</w:name>
    <w:comment xml:space="preserve">(pasportning seriyasi, raqami, qachon va kim tomonidan berilgani)</w:comment>
    <w:value w:hidden="false">
      <w:unit w:active="false"/>
    </w:value>
  </w:element>
  <w:element w:id="10" w:kind="variable" w:selector="check" w:type="string" w:valueMode="normal" w:required="false" w:groupID="4">
    <w:identifier xml:space="preserve">ID10</w:identifier>
    <w:name xml:space="preserve">Oilaviy sharoitini qisqacha tavsifi</w:name>
    <w:value w:hidden="false">
      <w:unit w:active="false"/>
    </w:value>
  </w:element>
  <w:element w:id="12" w:kind="variable" w:selector="check" w:type="string" w:valueMode="normal" w:required="false" w:groupID="4">
    <w:identifier xml:space="preserve">ID12</w:identifier>
    <w:name xml:space="preserve">Ota-ona qaramog‘idan mahrum bo‘lgan voyaga yetmagan shaxsning tug‘ilgan sanasi</w:name>
    <w:value w:hidden="false">
      <w:unit w:active="false"/>
    </w:value>
  </w:element>
  <w:element w:id="13" w:kind="variable" w:selector="check" w:type="string" w:valueMode="normal" w:required="false" w:groupID="4">
    <w:identifier xml:space="preserve">ID13</w:identifier>
    <w:name xml:space="preserve">Voyaga yetmagan shaxsning F.I.O.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Tomonlarning yuridik manzillari va boshqa rekvizitlari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Tutingan ota-onaning yashash manzili</w:name>
    <w:comment xml:space="preserve">(Misol uchun: Samarqand viloyati, Samarqand shahar, A. Beruniy ko‘chasi 47 uy, 45-xonadon)</w:comment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Tutingan ota-onaning pasport maʼlumotlari</w:name>
    <w:comment xml:space="preserve">(seriyasi, raqami, qachon va kim tomonidan berilgan)</w:comment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Tutingan ota-onaning F.I.O.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Vasiylik va homiylik organining yuridik (joylashgan) manzili</w:name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Vasiylik va homiylik organining bank rekvizitlari</w:name>
    <w:value w:hidden="false">
      <w:unit w:active="false"/>
    </w:value>
  </w:element>
  <w:element w:id="20" w:kind="variable" w:selector="check" w:type="string" w:valueMode="normal" w:required="false" w:groupID="14">
    <w:identifier xml:space="preserve">ID20</w:identifier>
    <w:name xml:space="preserve">Bank raqami</w:name>
    <w:comment xml:space="preserve">(Vasiylik va homiylik organining bank raqami MFO ko‘rsatiladi)</w:comment>
    <w:value w:hidden="false">
      <w:unit w:active="false"/>
    </w:value>
  </w:element>
  <w:element w:id="21" w:kind="variable" w:selector="check" w:type="string" w:valueMode="normal" w:required="false" w:groupID="14">
    <w:identifier xml:space="preserve">ID21</w:identifier>
    <w:name xml:space="preserve">STIR raqami</w:name>
    <w:comment xml:space="preserve">(Vasiylik va homiylik organining STIR raqami ko‘rsatiladi)</w:comment>
    <w:value w:hidden="false">
      <w:unit w:active="false"/>
    </w:value>
  </w:element>
  <w:element w:id="22" w:kind="variable" w:selector="check" w:type="string" w:valueMode="normal" w:required="false" w:groupID="14">
    <w:identifier xml:space="preserve">ID22</w:identifier>
    <w:name xml:space="preserve">Vasiylik va homiylik organining rahbarining F.I.O.</w:name>
    <w:value w:hidden="false">
      <w:unit w:active="false"/>
    </w:value>
  </w:element>
  <w:element w:id="25" w:kind="category" w:selector="check" w:type="string" w:valueMode="normal" w:required="false">
    <w:identifier xml:space="preserve">ID25</w:identifier>
    <w:name xml:space="preserve">Bitim rekvizitlari</w:name>
    <w:value w:hidden="true">
      <w:unit w:active="false"/>
    </w:value>
  </w:element>
</w:structure>
</file>