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065" w:type="dxa"/>
        <w:tblInd w:w="-43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80"/>
        <w:gridCol w:w="5385"/>
      </w:tblGrid>
      <w:tr>
        <w:tc>
          <w:tcPr>
            <w:tcW w:w="4680" w:type="dxa"/>
          </w:tcPr>
          <w:p>
            <w:pPr>
              <w:jc w:val="right"/>
              <w:spacing w:after="0" w:line="264" w:lineRule="auto"/>
              <w:rPr>
                <w:b/>
                <w:sz w:val="28"/>
                <w:rFonts w:ascii="Times New Roman" w:hAnsi="Times New Roman"/>
              </w:rPr>
            </w:pPr>
          </w:p>
        </w:tc>
        <w:tc>
          <w:tcPr>
            <w:tcW w:w="5385" w:type="dxa"/>
          </w:tcPr>
          <w:p>
            <w:pPr>
              <w:jc w:val="right"/>
              <w:rPr>
                <w:b/>
                <w:sz w:val="24"/>
                <w:rFonts w:ascii="Times New Roman" w:hAnsi="Times New Roman"/>
              </w:rPr>
            </w:pPr>
            <w:r>
              <w:rPr>
                <w:b/>
                <w:sz w:val="24"/>
                <w:rFonts w:ascii="Times New Roman" w:hAnsi="Times New Roman"/>
              </w:rPr>
              <w:t xml:space="preserve">Tarif qiymati:</w:t>
            </w:r>
          </w:p>
          <w:p>
            <w:pPr>
              <w:jc w:val="right"/>
              <w:rPr>
                <w:b/>
                <w:sz w:val="28"/>
                <w:rFonts w:ascii="Times New Roman" w:hAnsi="Times New Roman"/>
              </w:rPr>
            </w:pPr>
            <w:r>
              <w:rPr>
                <w:sz w:val="24"/>
                <w:rFonts w:ascii="Times New Roman" w:hAnsi="Times New Roman"/>
              </w:rPr>
              <w:t xml:space="preserve">        Suv 1 m</w:t>
            </w:r>
            <w:r>
              <w:rPr>
                <w:sz w:val="24"/>
                <w:rFonts w:ascii="Times New Roman" w:hAnsi="Times New Roman"/>
                <w:vertAlign w:val="superscript"/>
              </w:rPr>
              <w:t xml:space="preserve">3  </w:t>
            </w:r>
            <w:r>
              <w:rPr>
                <w:sz w:val="24"/>
                <w:rFonts w:ascii="Times New Roman" w:hAnsi="Times New Roman"/>
              </w:rPr>
              <w:t xml:space="preserve"> “Isteʼmolchi”ga yetkazib berilgan 1m3 ichimlik suvi uchun toʻlov miqdori soʻm</w:t>
            </w:r>
          </w:p>
          <w:p>
            <w:pPr>
              <w:jc w:val="right"/>
              <w:rPr>
                <w:b/>
                <w:sz w:val="28"/>
                <w:rFonts w:ascii="Times New Roman" w:hAnsi="Times New Roman"/>
              </w:rPr>
            </w:pPr>
            <w:r>
              <w:rPr>
                <w:sz w:val="24"/>
                <w:rFonts w:ascii="Times New Roman" w:hAnsi="Times New Roman"/>
              </w:rPr>
            </w:r>
          </w:p>
        </w:tc>
      </w:tr>
      <w:tr>
        <w:tc>
          <w:tcPr>
            <w:tcW w:w="10065" w:type="dxa"/>
            <w:gridSpan w:val="2"/>
          </w:tcPr>
          <w:p>
            <w:pPr>
              <w:jc w:val="center"/>
              <w:keepNext/>
              <w:spacing w:after="0" w:line="264" w:lineRule="auto"/>
              <w:outlineLvl w:val="0"/>
              <w:rPr>
                <w:b/>
                <w:sz w:val="24"/>
                <w:rFonts w:ascii="Times New Roman" w:hAnsi="Times New Roman"/>
              </w:rPr>
            </w:pPr>
            <w:r>
              <w:rPr>
                <w:b/>
                <w:sz w:val="24"/>
                <w:rFonts w:ascii="Times New Roman" w:hAnsi="Times New Roman"/>
              </w:rPr>
              <w:t xml:space="preserve">Byudjet tashkilotlari (IIguruh)ga suv tarqatish shaxobchalari  (gusak)dan avtotransport orqali suv yetkazib berish boʻyicha  </w:t>
            </w:r>
            <w:r>
              <w:rPr>
                <w:b/>
                <w:sz w:val="24"/>
                <w:rFonts w:ascii="Times New Roman" w:hAnsi="Times New Roman"/>
              </w:rPr>
              <w:fldChar w:fldCharType="begin"/>
              <w:instrText xml:space="preserve">X {"Y":3}</w:instrText>
              <w:fldChar w:fldCharType="separate"/>
            </w:r>
            <w:r>
              <w:rPr>
                <w:b/>
                <w:sz w:val="24"/>
                <w:rFonts w:ascii="Times New Roman" w:hAnsi="Times New Roman"/>
              </w:rPr>
              <w:t xml:space="preserve">Shartnoma raqami</w:t>
              <w:fldChar w:fldCharType="end"/>
            </w:r>
            <w:r>
              <w:rPr>
                <w:b/>
                <w:sz w:val="24"/>
                <w:rFonts w:ascii="Times New Roman" w:hAnsi="Times New Roman"/>
              </w:rPr>
              <w:t>-SHARTNOMA</w:t>
            </w:r>
          </w:p>
          <w:p>
            <w:pPr>
              <w:jc w:val="center"/>
              <w:keepNext/>
              <w:spacing w:after="0" w:line="264" w:lineRule="auto"/>
              <w:outlineLvl w:val="0"/>
              <w:rPr>
                <w:b/>
                <w:sz w:val="28"/>
                <w:rFonts w:ascii="Times New Roman" w:hAnsi="Times New Roman"/>
              </w:rPr>
            </w:pPr>
          </w:p>
        </w:tc>
      </w:tr>
      <w:tr>
        <w:tc>
          <w:tcPr>
            <w:tcW w:w="4680" w:type="dxa"/>
          </w:tcPr>
          <w:p>
            <w:pPr>
              <w:jc w:val="center"/>
              <w:spacing w:after="0" w:line="264" w:lineRule="auto"/>
              <w:rPr>
                <w:b/>
                <w:sz w:val="28"/>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p>
        </w:tc>
        <w:tc>
          <w:tcPr>
            <w:tcW w:w="5385" w:type="dxa"/>
          </w:tcPr>
          <w:p>
            <w:pPr>
              <w:jc w:val="center"/>
              <w:spacing w:after="0" w:line="264" w:lineRule="auto"/>
              <w:rPr>
                <w:sz w:val="28"/>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p>
            <w:pPr>
              <w:jc w:val="center"/>
              <w:spacing w:after="0" w:line="264" w:lineRule="auto"/>
              <w:rPr>
                <w:b/>
                <w:sz w:val="28"/>
                <w:rFonts w:ascii="Times New Roman" w:hAnsi="Times New Roman"/>
              </w:rPr>
            </w:pPr>
          </w:p>
        </w:tc>
      </w:tr>
      <w:tr>
        <w:tc>
          <w:tcPr>
            <w:tcW w:w="10065" w:type="dxa"/>
            <w:gridSpan w:val="2"/>
          </w:tcPr>
          <w:p>
            <w:pPr>
              <w:jc w:val="both"/>
              <w:ind w:firstLine="567"/>
              <w:rPr>
                <w:b/>
                <w:sz w:val="28"/>
                <w:rFonts w:ascii="Times New Roman" w:hAnsi="Times New Roman"/>
              </w:rPr>
            </w:pPr>
            <w:r>
              <w:rPr>
                <w:sz w:val="24"/>
                <w:rFonts w:ascii="Times New Roman" w:hAnsi="Times New Roman"/>
              </w:rPr>
              <w:t xml:space="preserve">Ushbu shartnoma </w:t>
            </w:r>
            <w:r>
              <w:rPr>
                <w:vanish w:val="false"/>
                <w:sz w:val="24"/>
                <w:rFonts w:ascii="Times New Roman" w:hAnsi="Times New Roman"/>
              </w:rPr>
              <w:fldChar w:fldCharType="begin"/>
              <w:instrText xml:space="preserve">X {"Y":7}</w:instrText>
              <w:fldChar w:fldCharType="separate"/>
              <w:t xml:space="preserve">“Taʼminotchi” tarafning nomi</w:t>
            </w:r>
            <w:r>
              <w:rPr>
                <w:vanish w:val="false"/>
                <w:sz w:val="24"/>
                <w:rFonts w:ascii="Times New Roman" w:hAnsi="Times New Roman"/>
              </w:rPr>
              <w:fldChar w:fldCharType="end"/>
            </w:r>
            <w:r>
              <w:rPr>
                <w:sz w:val="24"/>
                <w:rFonts w:ascii="Times New Roman" w:hAnsi="Times New Roman"/>
              </w:rPr>
              <w:t xml:space="preserve"> suv taʼminoti korxonasi (keyingi oʻrinlarda “Taʼminotchi” deb yuritiladi) nomidan Nizom asosida ish yurituvchi </w:t>
            </w:r>
            <w:r>
              <w:rPr>
                <w:vanish w:val="false"/>
                <w:sz w:val="24"/>
                <w:rFonts w:ascii="Times New Roman" w:hAnsi="Times New Roman"/>
              </w:rPr>
              <w:fldChar w:fldCharType="begin"/>
              <w:instrText xml:space="preserve">X {"Y":8}</w:instrText>
              <w:fldChar w:fldCharType="separate"/>
              <w:t xml:space="preserve">“Taʼminotchi” taraf nomidan ish olib boruvchi shaxsning lavozimi va F.I.O.si</w:t>
            </w:r>
            <w:r>
              <w:rPr>
                <w:vanish w:val="false"/>
                <w:sz w:val="24"/>
                <w:rFonts w:ascii="Times New Roman" w:hAnsi="Times New Roman"/>
              </w:rPr>
              <w:fldChar w:fldCharType="end"/>
            </w:r>
            <w:r>
              <w:rPr>
                <w:sz w:val="24"/>
                <w:rFonts w:ascii="Times New Roman" w:hAnsi="Times New Roman"/>
              </w:rPr>
              <w:t xml:space="preserve"> bir tomondan, </w:t>
            </w:r>
            <w:r>
              <w:rPr>
                <w:vanish w:val="false"/>
                <w:sz w:val="24"/>
                <w:rFonts w:ascii="Times New Roman" w:hAnsi="Times New Roman"/>
              </w:rPr>
              <w:fldChar w:fldCharType="begin"/>
              <w:instrText xml:space="preserve">X {"Y":16}</w:instrText>
              <w:fldChar w:fldCharType="separate"/>
              <w:t xml:space="preserve">Isteʼmolchining manzili</w:t>
            </w:r>
            <w:r>
              <w:rPr>
                <w:vanish w:val="false"/>
                <w:sz w:val="24"/>
                <w:rFonts w:ascii="Times New Roman" w:hAnsi="Times New Roman"/>
              </w:rPr>
              <w:fldChar w:fldCharType="end"/>
            </w:r>
            <w:r>
              <w:rPr>
                <w:sz w:val="24"/>
                <w:rFonts w:ascii="Times New Roman" w:hAnsi="Times New Roman"/>
              </w:rPr>
              <w:t xml:space="preserve"> manzilida joylashgan xonadon egasi </w:t>
            </w:r>
            <w:r>
              <w:rPr>
                <w:vanish w:val="false"/>
                <w:sz w:val="24"/>
                <w:rFonts w:ascii="Times New Roman" w:hAnsi="Times New Roman"/>
              </w:rPr>
              <w:fldChar w:fldCharType="begin"/>
              <w:instrText xml:space="preserve">X {"Y":15}</w:instrText>
              <w:fldChar w:fldCharType="separate"/>
              <w:t xml:space="preserve">Isteʼmolchining F.I.Osi</w:t>
            </w:r>
            <w:r>
              <w:rPr>
                <w:vanish w:val="false"/>
                <w:sz w:val="24"/>
                <w:rFonts w:ascii="Times New Roman" w:hAnsi="Times New Roman"/>
              </w:rPr>
              <w:fldChar w:fldCharType="end"/>
            </w:r>
            <w:r>
              <w:rPr>
                <w:sz w:val="24"/>
                <w:rFonts w:ascii="Times New Roman" w:hAnsi="Times New Roman"/>
              </w:rPr>
              <w:t xml:space="preserve">  (keyingi oʻrinlarda “Isteʼmolchi” deb yuritiladi) ikkinchi tomondan quyidagilar haqida tuzildi.</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I. SHARTNOMA PREDMETI</w:t>
            </w:r>
          </w:p>
          <w:p>
            <w:pPr>
              <w:jc w:val="both"/>
              <w:ind w:firstLine="708"/>
              <w:spacing w:after="0" w:line="240" w:lineRule="auto"/>
              <w:rPr>
                <w:sz w:val="24"/>
                <w:rFonts w:ascii="Times New Roman" w:hAnsi="Times New Roman"/>
              </w:rPr>
            </w:pPr>
            <w:r>
              <w:rPr>
                <w:sz w:val="24"/>
                <w:rFonts w:ascii="Times New Roman" w:hAnsi="Times New Roman"/>
              </w:rPr>
              <w:t>1.1. </w:t>
            </w:r>
            <w:r>
              <w:rPr>
                <w:vanish w:val="false"/>
                <w:sz w:val="24"/>
                <w:rFonts w:ascii="Times New Roman" w:hAnsi="Times New Roman"/>
              </w:rPr>
              <w:fldChar w:fldCharType="begin"/>
              <w:instrText xml:space="preserve">X {"Y":24}</w:instrText>
              <w:fldChar w:fldCharType="separate"/>
              <w:t xml:space="preserve">Suv yetkazib berish muddati</w:t>
            </w:r>
            <w:r>
              <w:rPr>
                <w:vanish w:val="false"/>
                <w:sz w:val="24"/>
                <w:rFonts w:ascii="Times New Roman" w:hAnsi="Times New Roman"/>
              </w:rPr>
              <w:fldChar w:fldCharType="end"/>
            </w:r>
            <w:r>
              <w:rPr>
                <w:sz w:val="24"/>
                <w:rFonts w:ascii="Times New Roman" w:hAnsi="Times New Roman"/>
              </w:rPr>
              <w:t xml:space="preserve"> uchun suv yetkazish hajmi boʻyicha tuzilgan shartnomaga muvofiq byudjet tashkilotlari va II guruh isteʼmolchilari uchun suv yetkazish </w:t>
            </w:r>
            <w:r>
              <w:rPr>
                <w:vanish w:val="false"/>
                <w:sz w:val="24"/>
                <w:rFonts w:ascii="Times New Roman" w:hAnsi="Times New Roman"/>
              </w:rPr>
              <w:fldChar w:fldCharType="begin"/>
              <w:instrText xml:space="preserve">X {"Y":25}</w:instrText>
              <w:fldChar w:fldCharType="separate"/>
              <w:t xml:space="preserve">1 m3 suv yetkazib berish uchun belgilangan narx</w:t>
            </w:r>
            <w:r>
              <w:rPr>
                <w:vanish w:val="false"/>
                <w:sz w:val="24"/>
                <w:rFonts w:ascii="Times New Roman" w:hAnsi="Times New Roman"/>
              </w:rPr>
              <w:fldChar w:fldCharType="end"/>
            </w:r>
            <w:r>
              <w:rPr>
                <w:sz w:val="24"/>
                <w:rFonts w:ascii="Times New Roman" w:hAnsi="Times New Roman"/>
              </w:rPr>
              <w:t xml:space="preserve"> narx boʻyicha  m</w:t>
            </w:r>
            <w:r>
              <w:rPr>
                <w:sz w:val="24"/>
                <w:rFonts w:ascii="Times New Roman" w:hAnsi="Times New Roman"/>
                <w:vertAlign w:val="superscript"/>
              </w:rPr>
              <w:t>3</w:t>
            </w:r>
            <w:r>
              <w:rPr>
                <w:sz w:val="24"/>
                <w:rFonts w:ascii="Times New Roman" w:hAnsi="Times New Roman"/>
              </w:rPr>
              <w:t xml:space="preserve">ni, 1m</w:t>
            </w:r>
            <w:r>
              <w:rPr>
                <w:sz w:val="24"/>
                <w:rFonts w:ascii="Times New Roman" w:hAnsi="Times New Roman"/>
                <w:vertAlign w:val="superscript"/>
              </w:rPr>
              <w:t>3</w:t>
            </w:r>
            <w:r>
              <w:rPr>
                <w:sz w:val="24"/>
                <w:rFonts w:ascii="Times New Roman" w:hAnsi="Times New Roman"/>
              </w:rPr>
              <w:t xml:space="preserve">suv uchun </w:t>
            </w:r>
            <w:r>
              <w:rPr>
                <w:vanish w:val="false"/>
                <w:sz w:val="24"/>
                <w:rFonts w:ascii="Times New Roman" w:hAnsi="Times New Roman"/>
              </w:rPr>
              <w:fldChar w:fldCharType="begin"/>
              <w:instrText xml:space="preserve">X {"Y":26}</w:instrText>
              <w:fldChar w:fldCharType="separate"/>
              <w:t xml:space="preserve">Suv taʼminoti xizmatlari tariflariga  isteʼmolchilar uchun belgilangan ustama xaq miqdori</w:t>
            </w:r>
            <w:r>
              <w:rPr>
                <w:vanish w:val="false"/>
                <w:sz w:val="24"/>
                <w:rFonts w:ascii="Times New Roman" w:hAnsi="Times New Roman"/>
              </w:rPr>
              <w:fldChar w:fldCharType="end"/>
            </w:r>
            <w:r>
              <w:rPr>
                <w:sz w:val="24"/>
                <w:rFonts w:ascii="Times New Roman" w:hAnsi="Times New Roman"/>
              </w:rPr>
              <w:t xml:space="preserve"> soʻm </w:t>
              <w:br/>
              <w:t xml:space="preserve">(+QQS 15%, + (</w:t>
            </w:r>
            <w:r>
              <w:rPr>
                <w:i/>
                <w:sz w:val="24"/>
                <w:rFonts w:ascii="Times New Roman" w:hAnsi="Times New Roman"/>
              </w:rPr>
              <w:t xml:space="preserve">maxsus ustama haq</w:t>
            </w:r>
            <w:r>
              <w:rPr>
                <w:sz w:val="24"/>
                <w:rFonts w:ascii="Times New Roman" w:hAnsi="Times New Roman"/>
              </w:rPr>
              <w:t xml:space="preserve">) soʻm) ni tashkil qilmoqda.</w:t>
            </w:r>
          </w:p>
          <w:p>
            <w:pPr>
              <w:jc w:val="both"/>
              <w:ind w:firstLine="708"/>
              <w:spacing w:after="0" w:line="240" w:lineRule="auto"/>
              <w:rPr>
                <w:sz w:val="24"/>
                <w:rFonts w:ascii="Times New Roman" w:hAnsi="Times New Roman"/>
              </w:rPr>
            </w:pPr>
            <w:r>
              <w:rPr>
                <w:sz w:val="24"/>
                <w:rFonts w:ascii="Times New Roman" w:hAnsi="Times New Roman"/>
              </w:rPr>
              <w:t>1m</w:t>
            </w:r>
            <w:r>
              <w:rPr>
                <w:sz w:val="24"/>
                <w:rFonts w:ascii="Times New Roman" w:hAnsi="Times New Roman"/>
                <w:vertAlign w:val="superscript"/>
              </w:rPr>
              <w:t xml:space="preserve">3 </w:t>
            </w:r>
            <w:r>
              <w:rPr>
                <w:sz w:val="24"/>
                <w:rFonts w:ascii="Times New Roman" w:hAnsi="Times New Roman"/>
              </w:rPr>
              <w:t xml:space="preserve">oqova suv uchun </w:t>
            </w:r>
            <w:r>
              <w:rPr>
                <w:vanish w:val="false"/>
                <w:sz w:val="24"/>
                <w:rFonts w:ascii="Times New Roman" w:hAnsi="Times New Roman"/>
              </w:rPr>
              <w:fldChar w:fldCharType="begin"/>
              <w:instrText xml:space="preserve">X {"Y":23}</w:instrText>
              <w:fldChar w:fldCharType="separate"/>
              <w:t xml:space="preserve">“Isteʼmolchi”ga yetkazib berilgan 1m3   oqova suvi uchun to‘lov miqdori</w:t>
            </w:r>
            <w:r>
              <w:rPr>
                <w:vanish w:val="false"/>
                <w:sz w:val="24"/>
                <w:rFonts w:ascii="Times New Roman" w:hAnsi="Times New Roman"/>
              </w:rPr>
              <w:fldChar w:fldCharType="end"/>
            </w:r>
            <w:r>
              <w:rPr>
                <w:sz w:val="24"/>
                <w:rFonts w:ascii="Times New Roman" w:hAnsi="Times New Roman"/>
              </w:rPr>
              <w:t xml:space="preserve"> soʻm (+QQS 15%)</w:t>
            </w:r>
          </w:p>
          <w:p>
            <w:pPr>
              <w:jc w:val="both"/>
              <w:ind w:firstLine="708"/>
              <w:spacing w:after="0" w:line="240" w:lineRule="auto"/>
              <w:rPr>
                <w:sz w:val="24"/>
                <w:rFonts w:ascii="Times New Roman" w:hAnsi="Times New Roman"/>
              </w:rPr>
            </w:pPr>
            <w:r>
              <w:rPr>
                <w:sz w:val="24"/>
                <w:rFonts w:ascii="Times New Roman" w:hAnsi="Times New Roman"/>
              </w:rPr>
              <w:t xml:space="preserve">Oʻrtacha sutkalik ichimlik suv isteʼmoli limiti  </w:t>
            </w:r>
            <w:r>
              <w:rPr>
                <w:vanish w:val="false"/>
                <w:sz w:val="24"/>
                <w:rFonts w:ascii="Times New Roman" w:hAnsi="Times New Roman"/>
              </w:rPr>
              <w:fldChar w:fldCharType="begin"/>
              <w:instrText xml:space="preserve">X {"Y":28}</w:instrText>
              <w:fldChar w:fldCharType="separate"/>
              <w:t xml:space="preserve">O‘rtacha sutkalik ichimlik suv isteʼmoli limiti</w:t>
            </w:r>
            <w:r>
              <w:rPr>
                <w:vanish w:val="false"/>
                <w:sz w:val="24"/>
                <w:rFonts w:ascii="Times New Roman" w:hAnsi="Times New Roman"/>
              </w:rPr>
              <w:fldChar w:fldCharType="end"/>
            </w:r>
            <w:r>
              <w:rPr>
                <w:sz w:val="24"/>
                <w:rFonts w:ascii="Times New Roman" w:hAnsi="Times New Roman"/>
              </w:rPr>
              <w:t xml:space="preserve"> m3.</w:t>
            </w:r>
          </w:p>
          <w:p>
            <w:pPr>
              <w:jc w:val="both"/>
              <w:ind w:firstLine="709"/>
              <w:spacing w:after="0" w:line="240" w:lineRule="auto"/>
              <w:rPr>
                <w:sz w:val="24"/>
                <w:rFonts w:ascii="Times New Roman" w:hAnsi="Times New Roman"/>
              </w:rPr>
            </w:pPr>
            <w:r>
              <w:rPr>
                <w:sz w:val="24"/>
                <w:rFonts w:ascii="Times New Roman" w:hAnsi="Times New Roman"/>
              </w:rPr>
              <w:t xml:space="preserve">Shu tariqa shartnomaning umumiy qiymati  </w:t>
            </w:r>
            <w:r>
              <w:rPr>
                <w:vanish w:val="false"/>
                <w:sz w:val="24"/>
                <w:rFonts w:ascii="Times New Roman" w:hAnsi="Times New Roman"/>
              </w:rPr>
              <w:fldChar w:fldCharType="begin"/>
              <w:instrText xml:space="preserve">X {"Y":29}</w:instrText>
              <w:fldChar w:fldCharType="separate"/>
              <w:t xml:space="preserve">Shartnomaning umumiy qiymati necha so‘mni tashkil qiladi</w:t>
            </w:r>
            <w:r>
              <w:rPr>
                <w:vanish w:val="false"/>
                <w:sz w:val="24"/>
                <w:rFonts w:ascii="Times New Roman" w:hAnsi="Times New Roman"/>
              </w:rPr>
              <w:fldChar w:fldCharType="end"/>
            </w:r>
            <w:r>
              <w:rPr>
                <w:sz w:val="24"/>
                <w:rFonts w:ascii="Times New Roman" w:hAnsi="Times New Roman"/>
              </w:rPr>
              <w:t xml:space="preserve"> soʻmni tashkil qildi.</w:t>
            </w:r>
          </w:p>
          <w:p>
            <w:pPr>
              <w:jc w:val="both"/>
              <w:ind w:firstLine="709"/>
              <w:spacing w:after="0" w:line="264" w:lineRule="auto"/>
              <w:rPr>
                <w:sz w:val="24"/>
                <w:rFonts w:ascii="Times New Roman" w:hAnsi="Times New Roman"/>
              </w:rPr>
            </w:pPr>
            <w:r>
              <w:rPr>
                <w:sz w:val="24"/>
                <w:rFonts w:ascii="Times New Roman" w:hAnsi="Times New Roman"/>
              </w:rPr>
              <w:t xml:space="preserve">Shu jumladan, byudjet mablagʻlaridan </w:t>
            </w:r>
            <w:r>
              <w:rPr>
                <w:sz w:val="24"/>
                <w:rFonts w:ascii="Times New Roman" w:hAnsi="Times New Roman"/>
              </w:rPr>
              <w:fldChar w:fldCharType="begin"/>
              <w:instrText xml:space="preserve">X {"Y":30}</w:instrText>
              <w:fldChar w:fldCharType="separate"/>
              <w:t xml:space="preserve">Mablag‘ning qancha miqdori davlat byudjetidan to‘lanishi ko‘zda tutilgan</w:t>
            </w:r>
            <w:r>
              <w:rPr>
                <w:sz w:val="24"/>
                <w:rFonts w:ascii="Times New Roman" w:hAnsi="Times New Roman"/>
              </w:rPr>
              <w:fldChar w:fldCharType="end"/>
            </w:r>
            <w:r>
              <w:rPr>
                <w:sz w:val="24"/>
                <w:rFonts w:ascii="Times New Roman" w:hAnsi="Times New Roman"/>
              </w:rPr>
              <w:t xml:space="preserve"> soʻm, byudjetdan tashqari mablagʻlaridan </w:t>
            </w:r>
            <w:r>
              <w:rPr>
                <w:sz w:val="24"/>
                <w:rFonts w:ascii="Times New Roman" w:hAnsi="Times New Roman"/>
              </w:rPr>
              <w:fldChar w:fldCharType="begin"/>
              <w:instrText xml:space="preserve">X {"Y":31}</w:instrText>
              <w:fldChar w:fldCharType="separate"/>
              <w:t xml:space="preserve">Mablag‘ning qancha miqdori davlat byudjetidan tashqari manbalardan to‘lanishi nazarda tutilgan</w:t>
            </w:r>
            <w:r>
              <w:rPr>
                <w:sz w:val="24"/>
                <w:rFonts w:ascii="Times New Roman" w:hAnsi="Times New Roman"/>
              </w:rPr>
              <w:fldChar w:fldCharType="end"/>
            </w:r>
            <w:r>
              <w:rPr>
                <w:sz w:val="24"/>
                <w:rFonts w:ascii="Times New Roman" w:hAnsi="Times New Roman"/>
              </w:rPr>
              <w:t xml:space="preserve"> soʻm toʻlanishi koʻzda tutilgan.</w:t>
            </w:r>
          </w:p>
          <w:p>
            <w:pPr>
              <w:jc w:val="both"/>
              <w:ind w:firstLine="708"/>
              <w:spacing w:after="0" w:line="240" w:lineRule="auto"/>
              <w:rPr>
                <w:sz w:val="24"/>
                <w:rFonts w:ascii="Times New Roman" w:hAnsi="Times New Roman"/>
              </w:rPr>
            </w:pPr>
            <w:r>
              <w:rPr>
                <w:sz w:val="24"/>
                <w:rFonts w:ascii="Times New Roman" w:hAnsi="Times New Roman"/>
              </w:rPr>
              <w:t xml:space="preserve">Byudjet tashkilotlari II guruh isteʼmolchilari tomonidan toʻlov oyma-oy tarzda “Taʼminotchi” tomonidan taqdim qilingan hisobvaraq-fakturalarga asosan, Moliya vazirligi Gʻaznachiligi orqali suv taʼminoti uchun oʻtkazilgan mablagʻlar orqali amalga oshiriladi. </w:t>
            </w:r>
          </w:p>
          <w:p>
            <w:pPr>
              <w:jc w:val="both"/>
              <w:ind w:firstLine="708"/>
              <w:spacing w:after="0" w:line="240" w:lineRule="auto"/>
              <w:rPr>
                <w:sz w:val="24"/>
                <w:rFonts w:ascii="Times New Roman" w:hAnsi="Times New Roman"/>
              </w:rPr>
            </w:pPr>
            <w:r>
              <w:rPr>
                <w:sz w:val="24"/>
                <w:rFonts w:ascii="Times New Roman" w:hAnsi="Times New Roman"/>
              </w:rPr>
              <w:t xml:space="preserve">1.2. “Taʼminotchi” “Isteʼmolchi”ni amaldagi standartga muvofiq ravishda barqaror ichimlik suv bilan taʼminlaydi. Ushbu standart nazorat Davlat sanitariya-epidemiologiya nazorati tomonidan amalga oshirilib, suv tarif qiymatida (QQSni hisobga olgan holda) xoʻjalik-maishiy va ishlab chiqarish-texnologik ehtiyojlarga yoʻnaltiradi.</w:t>
            </w:r>
          </w:p>
          <w:p>
            <w:pPr>
              <w:jc w:val="both"/>
              <w:ind w:firstLine="708"/>
              <w:spacing w:after="0" w:line="240" w:lineRule="auto"/>
              <w:rPr>
                <w:sz w:val="24"/>
                <w:rFonts w:ascii="Times New Roman" w:hAnsi="Times New Roman"/>
              </w:rPr>
            </w:pPr>
            <w:r>
              <w:rPr>
                <w:sz w:val="24"/>
                <w:rFonts w:ascii="Times New Roman" w:hAnsi="Times New Roman"/>
              </w:rPr>
              <w:t xml:space="preserve">1.3. “Isteʼmolchi” oʻrnatilgan muddatlar ichida “Taʼminotchi”ga koʻrsatilgan suv taʼminoti uchun toʻlovlarni oʻz vaqtida amalga oshirish majburiyatini oʻz zimmasiga oladi.</w:t>
            </w:r>
          </w:p>
          <w:p>
            <w:pPr>
              <w:jc w:val="both"/>
              <w:ind w:firstLine="708"/>
              <w:spacing w:after="0" w:line="240" w:lineRule="auto"/>
              <w:rPr>
                <w:sz w:val="24"/>
                <w:rFonts w:ascii="Times New Roman" w:hAnsi="Times New Roman"/>
              </w:rPr>
            </w:pPr>
            <w:r>
              <w:rPr>
                <w:sz w:val="24"/>
                <w:rFonts w:ascii="Times New Roman" w:hAnsi="Times New Roman"/>
              </w:rPr>
              <w:t xml:space="preserve">1.4. Taraflar ushbu shartnomaning suv taʼminoti boʻyicha shartlarini bajarish, Oʻzbekiston Respublikasi Vazirlar Mahkamasining 2014-yil 15-iyuldagi 194-sonli qarori bilan tasdiqlangan “Isteʼmolchilarga suv taʼminoti va suv chiqarish xizmatlari koʻrsatish Qoidalari”ga (keyinchalik matnda – Qoidalar deb yuritiladi), Oʻzbekiston Respublikasi Prezidentining 2017-yilning 16 noyabdagi “Suv taʼminoti va suv chiqarish xizmati koʻrsatish sohasida toʻlov intizomini tubdan takomillashtirish chora-tadbirlari toʻgʻrisida”gi PF-5241-sonli Farmoni, </w:t>
            </w:r>
            <w:r>
              <w:rPr>
                <w:sz w:val="24"/>
                <w:rFonts w:ascii="Times New Roman" w:hAnsi="Times New Roman"/>
              </w:rPr>
              <w:fldChar w:fldCharType="begin"/>
              <w:instrText xml:space="preserve">X {"Y":33}</w:instrText>
              <w:fldChar w:fldCharType="separate"/>
              <w:t xml:space="preserve">Ichimlik suvi uchun taʼrif belgilash to‘g‘risidagi qaror qabul qilingan sana</w:t>
            </w:r>
            <w:r>
              <w:rPr>
                <w:sz w:val="24"/>
                <w:rFonts w:ascii="Times New Roman" w:hAnsi="Times New Roman"/>
              </w:rPr>
              <w:fldChar w:fldCharType="end"/>
            </w:r>
            <w:r>
              <w:rPr>
                <w:sz w:val="24"/>
                <w:rFonts w:ascii="Times New Roman" w:hAnsi="Times New Roman"/>
              </w:rPr>
              <w:t xml:space="preserve">dagi </w:t>
            </w:r>
            <w:r>
              <w:rPr>
                <w:sz w:val="24"/>
                <w:rFonts w:ascii="Times New Roman" w:hAnsi="Times New Roman"/>
              </w:rPr>
              <w:fldChar w:fldCharType="begin"/>
              <w:instrText xml:space="preserve">X {"Y":32}</w:instrText>
              <w:fldChar w:fldCharType="separate"/>
              <w:t xml:space="preserve">Ichimlik suvi uchun taʼrif belgilash to‘g‘risidagi qarorning raqami</w:t>
            </w:r>
            <w:r>
              <w:rPr>
                <w:sz w:val="24"/>
                <w:rFonts w:ascii="Times New Roman" w:hAnsi="Times New Roman"/>
              </w:rPr>
              <w:fldChar w:fldCharType="end"/>
            </w:r>
            <w:r>
              <w:rPr>
                <w:sz w:val="24"/>
                <w:rFonts w:ascii="Times New Roman" w:hAnsi="Times New Roman"/>
              </w:rPr>
              <w:t xml:space="preserve">-sonli qarorga,  muvofiq tarifga 1 m</w:t>
            </w:r>
            <w:r>
              <w:rPr>
                <w:sz w:val="24"/>
                <w:rFonts w:ascii="Times New Roman" w:hAnsi="Times New Roman"/>
                <w:vertAlign w:val="superscript"/>
              </w:rPr>
              <w:t>3</w:t>
            </w:r>
            <w:r>
              <w:rPr>
                <w:sz w:val="24"/>
                <w:rFonts w:ascii="Times New Roman" w:hAnsi="Times New Roman"/>
              </w:rPr>
              <w:t xml:space="preserve"> uchun </w:t>
            </w:r>
            <w:r>
              <w:rPr>
                <w:sz w:val="24"/>
                <w:rFonts w:ascii="Times New Roman" w:hAnsi="Times New Roman"/>
              </w:rPr>
              <w:fldChar w:fldCharType="begin"/>
              <w:instrText xml:space="preserve">X {"Y":34}</w:instrText>
              <w:fldChar w:fldCharType="separate"/>
              <w:t xml:space="preserve">Suv taʼminoti xizmatlari tariflariga isteʼmolchilar uchun belgilangan ustama xaq miqdori</w:t>
            </w:r>
            <w:r>
              <w:rPr>
                <w:sz w:val="24"/>
                <w:rFonts w:ascii="Times New Roman" w:hAnsi="Times New Roman"/>
              </w:rPr>
              <w:fldChar w:fldCharType="end"/>
            </w:r>
            <w:r>
              <w:rPr>
                <w:sz w:val="24"/>
                <w:rFonts w:ascii="Times New Roman" w:hAnsi="Times New Roman"/>
              </w:rPr>
              <w:t xml:space="preserve"> soʻm maxsus ustama haq joriy etilgan hamda “Taʼminotchi” tomonidan taqdim qilingan ichimlik ichimlik suv yetkazib berish uchun ruxsat etuvchi hujjatlarga rioya qilish majburiyatini oʻz zimmasiga oladilar.</w:t>
            </w:r>
          </w:p>
          <w:p>
            <w:pPr>
              <w:jc w:val="both"/>
              <w:ind w:firstLine="708"/>
              <w:spacing w:after="0" w:line="240" w:lineRule="auto"/>
              <w:rPr>
                <w:b/>
                <w:sz w:val="28"/>
                <w:rFonts w:ascii="Times New Roman" w:hAnsi="Times New Roman"/>
              </w:rPr>
            </w:pPr>
            <w:r>
              <w:rPr>
                <w:sz w:val="24"/>
                <w:rFonts w:ascii="Times New Roman" w:hAnsi="Times New Roman"/>
              </w:rPr>
              <w:t xml:space="preserve">1.5. “Isteʼmolchi” ushbu shartnomaga ularning suvda ehtiyoji, yetkazib berishning miqdori koʻrsatgan holda, kadastr nusxasini taqdim qiladi, “Taʼminotchi”ni oʻz vaqtida bank maʼlumotlari va yuridik manzilidagi oʻzgarishlar haqida xabardor qiladi.</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II. UMUMIY QOIDALAR</w:t>
            </w:r>
          </w:p>
          <w:p>
            <w:pPr>
              <w:jc w:val="both"/>
              <w:ind w:firstLine="680"/>
              <w:spacing w:after="0" w:line="240" w:lineRule="auto"/>
              <w:rPr>
                <w:sz w:val="24"/>
                <w:rFonts w:ascii="Times New Roman" w:hAnsi="Times New Roman"/>
              </w:rPr>
            </w:pPr>
            <w:r>
              <w:rPr>
                <w:sz w:val="24"/>
                <w:rFonts w:ascii="Times New Roman" w:hAnsi="Times New Roman"/>
              </w:rPr>
              <w:t xml:space="preserve">2.1. Ichimlik suv taʼminoti tizimlaridagi ichimlik suvi “Isteʼmolchi”larning xoʻjalik va maishiy ehtiyojlari, yongʻinlarni oʻchirish, shuningdek, ichimlik suvi talab etiladigan texnologik va ishlab chiqarish jarayonlari uchun moʻljallangan. </w:t>
            </w:r>
          </w:p>
          <w:p>
            <w:pPr>
              <w:jc w:val="both"/>
              <w:ind w:firstLine="680"/>
              <w:spacing w:after="0" w:line="240" w:lineRule="auto"/>
              <w:rPr>
                <w:sz w:val="24"/>
                <w:rFonts w:ascii="Times New Roman" w:hAnsi="Times New Roman"/>
              </w:rPr>
            </w:pPr>
            <w:r>
              <w:rPr>
                <w:sz w:val="24"/>
                <w:rFonts w:ascii="Times New Roman" w:hAnsi="Times New Roman"/>
              </w:rPr>
              <w:t xml:space="preserve">“Taʼminotchi”ning texnik imkoniyatlari mavjud boʻlgan holatlarda, ixtisoslashgan isteʼmolchilarga ichimlik suvini markaziy ichimlik suv taʼminoti tizimlaridagi suv tarqatish shoxabchalaridan maxalliy davlat xokimliklari tomonidan bir km. masofaga xisoblangan narxda, belgilangan avtotransport vositasida aniq muddatda va miqdorda yetkazib beriladi.</w:t>
            </w:r>
          </w:p>
          <w:p>
            <w:pPr>
              <w:jc w:val="both"/>
              <w:ind w:firstLine="680"/>
              <w:spacing w:after="0" w:line="240" w:lineRule="auto"/>
              <w:rPr>
                <w:sz w:val="24"/>
                <w:rFonts w:ascii="Times New Roman" w:hAnsi="Times New Roman"/>
              </w:rPr>
            </w:pPr>
            <w:r>
              <w:rPr>
                <w:sz w:val="24"/>
                <w:rFonts w:ascii="Times New Roman" w:hAnsi="Times New Roman"/>
              </w:rPr>
              <w:t xml:space="preserve">2.2. Suv xovizini rekonstruksiyasi, ishga tushirish, “Isteʼmolchi” tomonidan faqat “Taʼminotchi” tarafidan tasdiqlangan texnik shartlar va loyiha asosida amalga oshirilishi mumkin boʻlib ular “Isteʼmolchi”ning soʻrovnomasi asosida barcha tasdiqlovchi hujjatlarni ilova qilgan holda beriladi. “Taʼminotchi”dan olingan texnik shartlar asosida “Isteʼmolchi” buyurtmasiga asosan, amaldagi meʼyor, qoidalar va boshqa meʼyoriy hujjatlar asosida loyihalashtirish tashkiloti tomonidan xoviz qurish ishlari loyihasi ishlab chiqiladi.</w:t>
            </w:r>
          </w:p>
          <w:p>
            <w:pPr>
              <w:jc w:val="both"/>
              <w:ind w:firstLine="680"/>
              <w:spacing w:after="0" w:line="240" w:lineRule="auto"/>
              <w:rPr>
                <w:sz w:val="24"/>
                <w:rFonts w:ascii="Times New Roman" w:hAnsi="Times New Roman"/>
              </w:rPr>
            </w:pPr>
            <w:r>
              <w:rPr>
                <w:sz w:val="24"/>
                <w:rFonts w:ascii="Times New Roman" w:hAnsi="Times New Roman"/>
              </w:rPr>
              <w:t xml:space="preserve">2.3. Agar suv taʼminoti uchun narxlarda oʻzgarish vujudga kelsa, toʻlov yangi tariflar asosida amalga oshiriladi.</w:t>
            </w:r>
          </w:p>
          <w:p>
            <w:pPr>
              <w:jc w:val="both"/>
              <w:ind w:firstLine="680"/>
              <w:spacing w:after="0" w:line="240" w:lineRule="auto"/>
              <w:rPr>
                <w:b/>
                <w:sz w:val="28"/>
                <w:rFonts w:ascii="Times New Roman" w:hAnsi="Times New Roman"/>
              </w:rPr>
            </w:pPr>
            <w:r>
              <w:rPr>
                <w:sz w:val="24"/>
                <w:rFonts w:ascii="Times New Roman" w:hAnsi="Times New Roman"/>
              </w:rPr>
              <w:t xml:space="preserve">2.4. “Isteʼmolchi”dan limitdan ortiqcha suv talab qilingan holatlarda, “Taʼminotchi” tomonidan belgilangan tariflarga nisbatan 10,0 orttiriluvchi koeffitsiyentni qoʻllash yoʻli bilan haq undiriladi.</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III. TARAFLARNING HUQUQ VA MAJBURIYATLARI</w:t>
            </w:r>
          </w:p>
          <w:p>
            <w:pPr>
              <w:spacing w:before="120" w:after="120" w:line="240" w:lineRule="auto"/>
              <w:rPr>
                <w:b/>
                <w:u w:val="single"/>
                <w:sz w:val="24"/>
                <w:rFonts w:ascii="Times New Roman" w:hAnsi="Times New Roman"/>
              </w:rPr>
            </w:pPr>
            <w:r>
              <w:rPr>
                <w:b/>
                <w:sz w:val="24"/>
                <w:rFonts w:ascii="Times New Roman" w:hAnsi="Times New Roman"/>
              </w:rPr>
              <w:tab/>
            </w:r>
            <w:r>
              <w:rPr>
                <w:b/>
                <w:u w:val="single"/>
                <w:sz w:val="24"/>
                <w:rFonts w:ascii="Times New Roman" w:hAnsi="Times New Roman"/>
              </w:rPr>
              <w:t xml:space="preserve">3.1. “Isteʼmolchi”ning huquqlari:</w:t>
            </w:r>
          </w:p>
          <w:p>
            <w:pPr>
              <w:jc w:val="both"/>
              <w:ind w:firstLine="680"/>
              <w:spacing w:after="0" w:line="240" w:lineRule="auto"/>
              <w:rPr>
                <w:sz w:val="24"/>
                <w:rFonts w:ascii="Times New Roman" w:hAnsi="Times New Roman"/>
              </w:rPr>
            </w:pPr>
            <w:r>
              <w:rPr>
                <w:color w:val="000000"/>
                <w:sz w:val="24"/>
                <w:rFonts w:ascii="Times New Roman" w:hAnsi="Times New Roman"/>
              </w:rPr>
              <w:t>a) “</w:t>
            </w:r>
            <w:r>
              <w:rPr>
                <w:sz w:val="24"/>
                <w:rFonts w:ascii="Times New Roman" w:hAnsi="Times New Roman"/>
              </w:rPr>
              <w:t xml:space="preserve">Taʼminotchi”dan u bilan tuzilgan shartnoma asosida, ichimlik suv markaziy ichimlik suv taʼminoti tizimlaridagi suv tarqatish shoxabchalaridan mahalliy davlat xokimiyati tomonidan bir km. masofaga hisoblangan narxda, belgilangan avtotransport vositasida aniq muddatda va miqdorda uzluksiz amalga oshirilishini, oʻz hayoti va sogʻligʻiga, mulkiga havf tugʻdirmaydigan darajadagi sifatli ichimlik suv yetkazib berishni taʼlab qilish;</w:t>
            </w:r>
          </w:p>
          <w:p>
            <w:pPr>
              <w:jc w:val="both"/>
              <w:ind w:firstLine="680"/>
              <w:spacing w:after="0" w:line="240" w:lineRule="auto"/>
              <w:rPr>
                <w:sz w:val="24"/>
                <w:rFonts w:ascii="Times New Roman" w:hAnsi="Times New Roman"/>
              </w:rPr>
            </w:pPr>
            <w:r>
              <w:rPr>
                <w:sz w:val="24"/>
                <w:rFonts w:ascii="Times New Roman" w:hAnsi="Times New Roman"/>
              </w:rPr>
              <w:t xml:space="preserve">b) tegishli sifat darajasidagi ichimlik suv talablarini bajarmaganligi uchun “Taʼminotchi”dan qonunchilikda va shartnoma shartlarida koʻrsatilgan miqdorda jarima (penya)lar toʻlashni talab qilish; </w:t>
            </w:r>
          </w:p>
          <w:p>
            <w:pPr>
              <w:jc w:val="both"/>
              <w:ind w:firstLine="680"/>
              <w:spacing w:after="0" w:line="240" w:lineRule="auto"/>
              <w:rPr>
                <w:sz w:val="24"/>
                <w:rFonts w:ascii="Times New Roman" w:hAnsi="Times New Roman"/>
              </w:rPr>
            </w:pPr>
            <w:r>
              <w:rPr>
                <w:sz w:val="24"/>
                <w:rFonts w:ascii="Times New Roman" w:hAnsi="Times New Roman"/>
              </w:rPr>
              <w:t xml:space="preserve">v) “Taʼminotchi”ni shartnomani bekor qilish toʻgʻrisida uning bekor qilinishidan kamida 15 kun oldin ogohlantirgan holda va ushbu muddatda suv taʼminoti boʻyicha koʻrsatilgan xizmatlar uchun toʻlovlarni toʻliq amalga oshirgan holda shartnomani bir tomonlama bekor qilish;</w:t>
            </w:r>
          </w:p>
          <w:p>
            <w:pPr>
              <w:jc w:val="both"/>
              <w:ind w:firstLine="680"/>
              <w:spacing w:after="0" w:line="240" w:lineRule="auto"/>
              <w:rPr>
                <w:sz w:val="24"/>
                <w:rFonts w:ascii="Times New Roman" w:hAnsi="Times New Roman"/>
              </w:rPr>
            </w:pPr>
            <w:r>
              <w:rPr>
                <w:color w:val="000000"/>
                <w:sz w:val="24"/>
                <w:rFonts w:ascii="Times New Roman" w:hAnsi="Times New Roman"/>
              </w:rPr>
              <w:t>g) </w:t>
            </w:r>
            <w:r>
              <w:rPr>
                <w:sz w:val="24"/>
                <w:rFonts w:ascii="Times New Roman" w:hAnsi="Times New Roman"/>
              </w:rPr>
              <w:t xml:space="preserve">ichimlik suv taʼminoti uchun amalga oshirilgan toʻlovlarning holati, qarzlarning yoʻqligi haqidagi maʼlumotlar va maʼlumotnomani (shaxsan yoki oʻz vakili orqali) bepul olish;</w:t>
            </w:r>
          </w:p>
          <w:p>
            <w:pPr>
              <w:jc w:val="both"/>
              <w:ind w:firstLine="680"/>
              <w:spacing w:after="0" w:line="240" w:lineRule="auto"/>
              <w:rPr>
                <w:color w:val="000000"/>
                <w:sz w:val="24"/>
                <w:rFonts w:ascii="Times New Roman" w:hAnsi="Times New Roman"/>
              </w:rPr>
            </w:pPr>
            <w:r>
              <w:rPr>
                <w:sz w:val="24"/>
                <w:rFonts w:ascii="Times New Roman" w:hAnsi="Times New Roman"/>
              </w:rPr>
              <w:t xml:space="preserve">d) “Taʼminotchi”dan ichimlik suv taʼminoti hajmi va sifati, ularni amalga oshirish shartlari, toʻlovlar tarifi va tartiblarining oʻzgarishi haqidagi maʼlumotlarni bepul olish;</w:t>
            </w:r>
          </w:p>
          <w:p>
            <w:pPr>
              <w:jc w:val="both"/>
              <w:ind w:firstLine="680"/>
              <w:spacing w:after="0" w:line="240" w:lineRule="auto"/>
              <w:rPr>
                <w:sz w:val="24"/>
                <w:rFonts w:ascii="Times New Roman" w:hAnsi="Times New Roman"/>
              </w:rPr>
            </w:pPr>
            <w:r>
              <w:rPr>
                <w:color w:val="000000"/>
                <w:sz w:val="24"/>
                <w:rFonts w:ascii="Times New Roman" w:hAnsi="Times New Roman"/>
              </w:rPr>
              <w:t>ye) </w:t>
            </w:r>
            <w:r>
              <w:rPr>
                <w:sz w:val="24"/>
                <w:rFonts w:ascii="Times New Roman" w:hAnsi="Times New Roman"/>
              </w:rPr>
              <w:t xml:space="preserve">ichimlik suv taʼminoti koʻrsatilmayotganligi yoki ularning past sifatda ekanligi toʻgʻrisidagi dalolatnoma taqdim etilgandan keyin 18 soat mobaynida “Taʼminotchi”dan nosozlik va kamchiliklarni bartaraf etish chora-tadbirlari toʻgʻrisidagi maʼlumotlarni olish;</w:t>
            </w:r>
          </w:p>
          <w:p>
            <w:pPr>
              <w:jc w:val="both"/>
              <w:ind w:firstLine="680"/>
              <w:spacing w:after="0" w:line="240" w:lineRule="auto"/>
              <w:rPr>
                <w:sz w:val="24"/>
                <w:rFonts w:ascii="Times New Roman" w:hAnsi="Times New Roman"/>
              </w:rPr>
            </w:pPr>
            <w:r>
              <w:rPr>
                <w:sz w:val="24"/>
                <w:rFonts w:ascii="Times New Roman" w:hAnsi="Times New Roman"/>
              </w:rPr>
              <w:t xml:space="preserve">yo) Davlat sanitariya-epidemiologiya markazi organlari tomonidan tasdiqlangan amaldagi standartlarga javob beradigan sifatli ichimlik suvi bilan taʼminlanmaganlik (sifatsiz ichimlik suv mavjudligi aniqlangan davrdan u tegishli darajaga olib kelingan vaqt) uchun qayta hisob-kitob amalga oshirilishini talab qilish.</w:t>
            </w:r>
          </w:p>
          <w:p>
            <w:pPr>
              <w:ind w:firstLine="709"/>
              <w:spacing w:before="120" w:after="120" w:line="240" w:lineRule="auto"/>
              <w:rPr>
                <w:b/>
                <w:u w:val="single"/>
                <w:color w:val="000000"/>
                <w:sz w:val="24"/>
                <w:rFonts w:ascii="Times New Roman" w:hAnsi="Times New Roman"/>
              </w:rPr>
            </w:pPr>
            <w:r>
              <w:rPr>
                <w:b/>
                <w:u w:val="single"/>
                <w:color w:val="000000"/>
                <w:sz w:val="24"/>
                <w:rFonts w:ascii="Times New Roman" w:hAnsi="Times New Roman"/>
              </w:rPr>
              <w:t xml:space="preserve">3.2. “Isteʼmolchi”ning majburiyatlari:</w:t>
            </w:r>
          </w:p>
          <w:p>
            <w:pPr>
              <w:ind w:firstLine="708"/>
              <w:spacing w:after="0" w:line="240" w:lineRule="auto"/>
              <w:rPr>
                <w:color w:val="000000"/>
                <w:sz w:val="24"/>
                <w:rFonts w:ascii="Times New Roman" w:hAnsi="Times New Roman"/>
              </w:rPr>
            </w:pPr>
            <w:r>
              <w:rPr>
                <w:color w:val="000000"/>
                <w:sz w:val="24"/>
                <w:rFonts w:ascii="Times New Roman" w:hAnsi="Times New Roman"/>
              </w:rPr>
              <w:t xml:space="preserve">a) shartnoma shartlarini bajarish;</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b) oʻzining hududida joylashgan va ularga tegishli boʻlgan ichimlik suv xovizi qurilmalarinig muvofiq ravishda qoʻriqlanishini, ularga suv toshishi yoki shikastlanishiga, muzlab qolishiga yoʻl qoʻymaslik, quduq qopqoqlarini qor va muzdan tozalash, quduqlardan yuza oqovasi mavjudligini taʼminlash, yongʻinga qarshi oʻtish yoʻllarini bekitmaslik, yongʻinga qarshi xovuzdan suvni kulay olishini nazorat qilish;</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v) “Isteʼmolchi” hududida yoki uning tasarrufidagi suv xovuz qurilmalarining ustiga turli buyum va materiallarning yigʻilishiga hamda qurilmalarining ustidan inshootlar qurilmaslik;</w:t>
            </w:r>
          </w:p>
          <w:p>
            <w:pPr>
              <w:jc w:val="both"/>
              <w:ind w:firstLine="680"/>
              <w:spacing w:after="0" w:line="240" w:lineRule="atLeast"/>
              <w:rPr>
                <w:sz w:val="24"/>
                <w:rFonts w:ascii="Times New Roman" w:hAnsi="Times New Roman"/>
              </w:rPr>
            </w:pPr>
            <w:r>
              <w:rPr>
                <w:color w:val="000000"/>
                <w:sz w:val="24"/>
                <w:rFonts w:ascii="Times New Roman" w:hAnsi="Times New Roman"/>
              </w:rPr>
              <w:t>g) </w:t>
            </w:r>
            <w:r>
              <w:rPr>
                <w:sz w:val="24"/>
                <w:rFonts w:ascii="Times New Roman" w:hAnsi="Times New Roman"/>
              </w:rPr>
              <w:t xml:space="preserve">“Taʼminotchi”ni oʻz vaqtida bank maʼlumotlari va yuridik manzilidagi oʻzgarishlar haqida xabardor qilish.</w:t>
            </w:r>
          </w:p>
          <w:p>
            <w:pPr>
              <w:ind w:firstLine="709"/>
              <w:spacing w:before="120" w:after="120" w:line="240" w:lineRule="auto"/>
              <w:rPr>
                <w:b/>
                <w:u w:val="single"/>
                <w:sz w:val="24"/>
                <w:rFonts w:ascii="Times New Roman" w:hAnsi="Times New Roman"/>
              </w:rPr>
            </w:pPr>
            <w:r>
              <w:rPr>
                <w:b/>
                <w:u w:val="single"/>
                <w:sz w:val="24"/>
                <w:rFonts w:ascii="Times New Roman" w:hAnsi="Times New Roman"/>
              </w:rPr>
              <w:t xml:space="preserve">3.3. “Taʼminotchi”ning huquqlari:</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a) “Taʼminotchi” quyidagi hollarda, isteʼmolchini 5 kun avval xabardor qilgan holda, suv yetkazishni toʻliq yoki qisman toʻxtatish huquqiga ega: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b) “Isteʼmolchi” hududida joylashgan va uning tasarrufidagi suv tarqatish moslama va qurilmalarining texnik holati qoniqarsiz holatda boʻlsa va “Isteʼmolchi” texnik foydalanish qoidalarini buzish natijalarini “Taʼminotchi” vakillari talabiga koʻra bartaraf etmasa;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v) “Isteʼmolchi” tomonidan ichimlik suv taʼminoti shartlariga rioya qilinmaganda;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g)  energiya taʼminoti toʻxtatilganda;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d) tabiiy ofatlarda;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ye) avariyalarda;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yo) yongʻin chiqqan yerlarga suv yetkazish hajmini oshirish zaruriyati tugʻilganda.</w:t>
            </w:r>
          </w:p>
          <w:p>
            <w:pPr>
              <w:jc w:val="both"/>
              <w:shd w:fill="ffffff"/>
              <w:ind w:firstLine="709"/>
              <w:spacing w:before="120" w:after="120" w:line="240" w:lineRule="auto"/>
              <w:rPr>
                <w:b/>
                <w:u w:val="single"/>
                <w:sz w:val="24"/>
                <w:rFonts w:ascii="Times New Roman" w:hAnsi="Times New Roman"/>
              </w:rPr>
            </w:pPr>
            <w:r>
              <w:rPr>
                <w:b/>
                <w:u w:val="single"/>
                <w:sz w:val="24"/>
                <w:rFonts w:ascii="Times New Roman" w:hAnsi="Times New Roman"/>
              </w:rPr>
              <w:t xml:space="preserve">3.4. “Taʼminotchi”ning majburiyatlari:</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a) suv yetkazish boʻyicha shartnoma shartlarini bajarish;</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b) suv yetkazilishini belgilangan muddatda taʼminlash; </w:t>
            </w:r>
          </w:p>
          <w:p>
            <w:pPr>
              <w:jc w:val="both"/>
              <w:ind w:firstLine="708"/>
              <w:spacing w:after="0" w:line="240" w:lineRule="auto"/>
              <w:rPr>
                <w:sz w:val="24"/>
                <w:rFonts w:ascii="Times New Roman" w:hAnsi="Times New Roman"/>
              </w:rPr>
            </w:pPr>
            <w:r>
              <w:rPr>
                <w:sz w:val="24"/>
                <w:rFonts w:ascii="Times New Roman" w:hAnsi="Times New Roman"/>
              </w:rPr>
              <w:t xml:space="preserve">v) tizimli ravishda davlat suv taʼminoti, isteʼmol obyektlari va qurilmalariga yetkazilgan suv taʼminoti holatini va ishini tizimli nazorat qilishni amalga oshirish va ularni toʻgʻri ishlashni tashkil etishda amaliy yordam koʻrsatish;</w:t>
            </w:r>
          </w:p>
          <w:p>
            <w:pPr>
              <w:jc w:val="both"/>
              <w:ind w:firstLine="708"/>
              <w:spacing w:after="0" w:line="240" w:lineRule="auto"/>
              <w:rPr>
                <w:sz w:val="24"/>
                <w:rFonts w:ascii="Times New Roman" w:hAnsi="Times New Roman"/>
              </w:rPr>
            </w:pPr>
            <w:r>
              <w:rPr>
                <w:sz w:val="24"/>
                <w:rFonts w:ascii="Times New Roman" w:hAnsi="Times New Roman"/>
              </w:rPr>
              <w:t xml:space="preserve">g) “Isteʼmolchi”ga ushbu shartnomaning shartlarini bajarmagan hollarda jarima penya toʻlovlarini amalga oshirish;</w:t>
            </w:r>
          </w:p>
          <w:p>
            <w:pPr>
              <w:jc w:val="both"/>
              <w:ind w:firstLine="708"/>
              <w:spacing w:after="0" w:line="240" w:lineRule="auto"/>
              <w:rPr>
                <w:sz w:val="24"/>
                <w:rFonts w:ascii="Times New Roman" w:hAnsi="Times New Roman"/>
              </w:rPr>
            </w:pPr>
            <w:r>
              <w:rPr>
                <w:sz w:val="24"/>
                <w:rFonts w:ascii="Times New Roman" w:hAnsi="Times New Roman"/>
              </w:rPr>
              <w:t xml:space="preserve">d) suv taʼminoti va isteʼmoliga oid meʼyoriy-huquqiy va boshqa hujjatlarning qabul qilinganligi haqida “Isteʼmolchi”larni xabardor qilish;</w:t>
            </w:r>
          </w:p>
          <w:p>
            <w:pPr>
              <w:jc w:val="both"/>
              <w:ind w:firstLine="708"/>
              <w:spacing w:after="0" w:line="240" w:lineRule="auto"/>
              <w:rPr>
                <w:sz w:val="24"/>
                <w:rFonts w:ascii="Times New Roman" w:hAnsi="Times New Roman"/>
              </w:rPr>
            </w:pPr>
            <w:r>
              <w:rPr>
                <w:sz w:val="24"/>
                <w:rFonts w:ascii="Times New Roman" w:hAnsi="Times New Roman"/>
              </w:rPr>
              <w:t xml:space="preserve">ye) suv yetkazish uchun xizmat haqi toʻlovlarining tariflari oshganda, ular amalda joriy qilinishidan 15 kun avval ommaviy axborot vositalari yordamida isteʼmolchilarni xabardor qilish;</w:t>
            </w:r>
          </w:p>
          <w:p>
            <w:pPr>
              <w:jc w:val="both"/>
              <w:ind w:firstLine="708"/>
              <w:spacing w:after="0" w:line="240" w:lineRule="auto"/>
              <w:rPr>
                <w:b/>
                <w:sz w:val="28"/>
                <w:rFonts w:ascii="Times New Roman" w:hAnsi="Times New Roman"/>
              </w:rPr>
            </w:pPr>
            <w:r>
              <w:rPr>
                <w:sz w:val="24"/>
                <w:rFonts w:ascii="Times New Roman" w:hAnsi="Times New Roman"/>
              </w:rPr>
              <w:t xml:space="preserve">yo) ichimlik suv taʼminoti uchun amalga oshirilgan toʻlovlarning holati, qarzlarning yoʻqligi haqidagi maʼlumotlarni “Isteʼmolchi”ga bepul berish;</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IV. TARAFLARNING JAVOBGARLIGI</w:t>
            </w: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4.1. “Taʼminotchi” ushbu shartnomaga muvofiq majburiyatlarni bajarmaslik yoki lozim darajada bajarilmagan hollarda kelib chiqqan zararni, “Isteʼmolchi” esa yetkazilgan haqiqiy zararning oʻrnini qoplashi shart.</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4.2. “Isteʼmolchi” quyidagilar uchun javobgardir:</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a) qonunchilikda oʻrnatilgan boshqa hollarda;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4.3. “Taʼminotchi” quyidagi hollarda javobgardir:</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a) amaldagi meʼyoriy-huquqiy hujjatlarning talablariga muvofiq, yetkazilgan suvning sifati hamda qonunchilikda va shartnoma shartlarida koʻzda tutilgan boshqa hollarda;</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b) “Isteʼmolchi”larga suv yetkazish uchun zarur boʻlgan texnik shartlarning oʻz vaqtida va ishonchli taqdim qilinishi uchun;</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v) “Isteʼmolchi”ning hayoti, salomatligi va mol-mulkiga yetkazilgan zarar, maʼnaviy zarar uchun qonunchilikda oʻrnatilgan tartib va miqdorda, qoplash; </w:t>
            </w:r>
          </w:p>
          <w:p>
            <w:pPr>
              <w:jc w:val="both"/>
              <w:shd w:fill="ffffff"/>
              <w:ind w:firstLine="709"/>
              <w:spacing w:after="0" w:line="240" w:lineRule="auto"/>
              <w:rPr>
                <w:color w:val="000000"/>
                <w:sz w:val="24"/>
                <w:rFonts w:ascii="Times New Roman" w:hAnsi="Times New Roman"/>
              </w:rPr>
            </w:pPr>
            <w:r>
              <w:rPr>
                <w:color w:val="000000"/>
                <w:sz w:val="24"/>
                <w:rFonts w:ascii="Times New Roman" w:hAnsi="Times New Roman"/>
              </w:rPr>
              <w:t xml:space="preserve">g) shartnoma shartlari va yuklatilgan majburiyatlarni bajarmaslik;</w:t>
            </w:r>
          </w:p>
          <w:p>
            <w:pPr>
              <w:jc w:val="both"/>
              <w:shd w:fill="ffffff"/>
              <w:ind w:firstLine="709"/>
              <w:spacing w:after="0" w:line="240" w:lineRule="auto"/>
              <w:rPr>
                <w:color w:val="000000"/>
                <w:sz w:val="24"/>
                <w:rFonts w:ascii="Times New Roman" w:hAnsi="Times New Roman"/>
              </w:rPr>
            </w:pPr>
            <w:r>
              <w:rPr>
                <w:sz w:val="24"/>
                <w:rFonts w:ascii="Times New Roman" w:hAnsi="Times New Roman"/>
              </w:rPr>
              <w:t>d) </w:t>
            </w:r>
            <w:r>
              <w:rPr>
                <w:color w:val="000000"/>
                <w:sz w:val="24"/>
                <w:rFonts w:ascii="Times New Roman" w:hAnsi="Times New Roman"/>
              </w:rPr>
              <w:t xml:space="preserve">qonunchilikda oʻrnatilgan boshqa hollarda.</w:t>
            </w:r>
          </w:p>
          <w:p>
            <w:pPr>
              <w:jc w:val="right"/>
              <w:spacing w:after="0" w:line="264" w:lineRule="auto"/>
              <w:rPr>
                <w:b/>
                <w:sz w:val="28"/>
                <w:rFonts w:ascii="Times New Roman" w:hAnsi="Times New Roman"/>
              </w:rPr>
            </w:pP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V. SUV TAʼMINOTI UCHUN HISOB-KITOB QILISH TARTIBI</w:t>
            </w:r>
          </w:p>
          <w:p>
            <w:pPr>
              <w:jc w:val="both"/>
              <w:ind w:firstLine="708"/>
              <w:spacing w:after="0" w:line="240" w:lineRule="auto"/>
              <w:rPr>
                <w:b/>
                <w:sz w:val="28"/>
                <w:rFonts w:ascii="Times New Roman" w:hAnsi="Times New Roman"/>
              </w:rPr>
            </w:pPr>
            <w:r>
              <w:rPr>
                <w:sz w:val="24"/>
                <w:rFonts w:ascii="Times New Roman" w:hAnsi="Times New Roman"/>
              </w:rPr>
              <w:t xml:space="preserve">5.1. Ichimlik suv taʼminoti tizimidan yetkazilgan suvning hisobi hisoblash amaldagi tariflar boʻyicha QQSni hisobga olgan holda amalga oshiriladi.</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VI. ALOXIDA SHARTLAR</w:t>
            </w:r>
          </w:p>
          <w:p>
            <w:pPr>
              <w:jc w:val="both"/>
              <w:ind w:firstLine="708"/>
              <w:spacing w:after="0" w:line="240" w:lineRule="auto"/>
              <w:rPr>
                <w:sz w:val="24"/>
                <w:rFonts w:ascii="Times New Roman" w:hAnsi="Times New Roman"/>
              </w:rPr>
            </w:pPr>
            <w:r>
              <w:rPr>
                <w:sz w:val="24"/>
                <w:rFonts w:ascii="Times New Roman" w:hAnsi="Times New Roman"/>
              </w:rPr>
              <w:t xml:space="preserve">6.1. “Isteʼmolchi”ning suv yetkazish xoʻjaligidagi barcha oʻzgarishlar “Taʼminotchi” tomonidan “Isteʼmolchi”ning xati kelib tushgan kundan boshlab hisobga olinadi.</w:t>
            </w:r>
          </w:p>
          <w:p>
            <w:pPr>
              <w:jc w:val="both"/>
              <w:ind w:firstLine="709"/>
              <w:spacing w:after="0" w:line="240" w:lineRule="auto"/>
              <w:rPr>
                <w:color w:val="000000"/>
                <w:sz w:val="24"/>
                <w:rFonts w:ascii="Times New Roman" w:hAnsi="Times New Roman"/>
              </w:rPr>
            </w:pPr>
            <w:r>
              <w:rPr>
                <w:sz w:val="24"/>
                <w:rFonts w:ascii="Times New Roman" w:hAnsi="Times New Roman"/>
              </w:rPr>
              <w:t xml:space="preserve">6.2. “Taʼminotchi” toʻlovning har bir davri uchun, avvalgi oy toʻlovining 100% miqdorda oldindan toʻlovni belgilaydi va bu toʻlov keyingi oy hisobiga qoʻshiladi. Agarda “Isteʼmolchi” keyingi oy uchun har oyning 10-sanasiga qadar 100 foiz oldindan toʻlovlarni amalga oshirmasa, “Taʼminotchi” hech qanday ogohlantirishlarsiz ichimlik suvini yetkazib berishni qarzlarni undirmagunga qadar toʻxtatib qoʻyish huquqiga ega. Bunday hollarda yongʻindan saqlanish va sanitariya holatlari uchun javobgarlik toʻliq “Isteʼmolchi” zimmasiga yuklatiladi.</w:t>
            </w:r>
          </w:p>
          <w:p>
            <w:pPr>
              <w:jc w:val="both"/>
              <w:ind w:firstLine="709"/>
              <w:spacing w:after="0" w:line="240" w:lineRule="auto"/>
              <w:rPr>
                <w:b/>
                <w:sz w:val="28"/>
                <w:rFonts w:ascii="Times New Roman" w:hAnsi="Times New Roman"/>
              </w:rPr>
            </w:pPr>
            <w:r>
              <w:rPr>
                <w:sz w:val="24"/>
                <w:rFonts w:ascii="Times New Roman" w:hAnsi="Times New Roman"/>
              </w:rPr>
              <w:t xml:space="preserve">6.3. Hisob-kitoblarning notoʻgʻri qilinganligi (tariflarning notoʻgʻri hisobga olinganligi va shu kabi holatlar) toʻgʻrisida “Isteʼmolchi” yoziladigan eʼtiroznoma toʻlov hujjati olingandan keyin 5 kun muddatda “Taʼminotchi”ga taqdim etilishi kerak. Eʼtiroznoma “Isteʼmolchi”ni toʻlov xujjatida koʻrsatilgan summani toʻlq va belgilangan muddatda toʻlashdan ozod qilmaydi.</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VII. NIZOLARNI HAL ETISH TARTIBI</w:t>
            </w:r>
          </w:p>
          <w:p>
            <w:pPr>
              <w:jc w:val="both"/>
              <w:ind w:firstLine="708"/>
              <w:spacing w:after="0" w:line="240" w:lineRule="auto"/>
              <w:rPr>
                <w:sz w:val="24"/>
                <w:rFonts w:ascii="Times New Roman" w:hAnsi="Times New Roman"/>
              </w:rPr>
            </w:pPr>
            <w:r>
              <w:rPr>
                <w:sz w:val="24"/>
                <w:rFonts w:ascii="Times New Roman" w:hAnsi="Times New Roman"/>
              </w:rPr>
              <w:t xml:space="preserve">7.1. Taraflar oʻrtasida shartnoma yuzasidan kelib chiqqan nizolar, kelishuv yoʻli bilan hal qilinadi. Agarda ikki tomonlama kelishuvga erishilmasa, nizolar Oʻzbekiston Respublikasi qonunchiligiga muvofiq sud tartibida koʻriladi va bartaraf etiladi.</w:t>
            </w:r>
          </w:p>
          <w:p>
            <w:pPr>
              <w:jc w:val="both"/>
              <w:ind w:firstLine="708"/>
              <w:spacing w:after="0" w:line="240" w:lineRule="auto"/>
              <w:rPr>
                <w:b/>
                <w:sz w:val="28"/>
                <w:rFonts w:ascii="Times New Roman" w:hAnsi="Times New Roman"/>
              </w:rPr>
            </w:pPr>
            <w:r>
              <w:rPr>
                <w:sz w:val="24"/>
                <w:rFonts w:ascii="Times New Roman" w:hAnsi="Times New Roman"/>
              </w:rPr>
              <w:t xml:space="preserve">7.2. Ushbu shartnomada belgilanmagan holatlar yuzasidan nizo kelib chiqqan taqdirda, Qonunchilikda belgilangan tartibda hal qilinadi.</w:t>
            </w: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VIII. FORS – MAJOR</w:t>
            </w:r>
          </w:p>
          <w:p>
            <w:pPr>
              <w:jc w:val="both"/>
              <w:ind w:firstLine="709"/>
              <w:spacing w:after="0" w:line="240" w:lineRule="auto"/>
              <w:rPr>
                <w:sz w:val="24"/>
                <w:rFonts w:ascii="Times New Roman" w:hAnsi="Times New Roman"/>
              </w:rPr>
            </w:pPr>
            <w:r>
              <w:rPr>
                <w:sz w:val="24"/>
                <w:rFonts w:ascii="Times New Roman" w:hAnsi="Times New Roman"/>
              </w:rPr>
              <w:t xml:space="preserve">8.1. Agar ushbu shartnoma boʻyicha majburiyatlar qisman yoki toʻliq bajarilmasligi tabiat hodisalari va boshqa yengib boʻlmaydigan kuch (fors-major) holatlari (zilzila, suv toshqini, yongʻin, sel, doʻl, jala va boshqa tabiiy ofatlar) natijasida kelib chiqsa va agar bu holatlar mazkur shartnomaning bajarilishiga bevosita taʼsir etsa, tomonlar bunday bajarmaslik uchun javobgarlikdan ozod etiladilar.</w:t>
            </w:r>
          </w:p>
          <w:p>
            <w:pPr>
              <w:jc w:val="both"/>
              <w:ind w:firstLine="709"/>
              <w:spacing w:after="0" w:line="240" w:lineRule="auto"/>
              <w:rPr>
                <w:sz w:val="24"/>
                <w:rFonts w:ascii="Times New Roman" w:hAnsi="Times New Roman"/>
              </w:rPr>
            </w:pPr>
            <w:r>
              <w:rPr>
                <w:sz w:val="24"/>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ind w:firstLine="709"/>
              <w:spacing w:after="0" w:line="240" w:lineRule="auto"/>
              <w:rPr>
                <w:sz w:val="24"/>
                <w:rFonts w:ascii="Times New Roman" w:hAnsi="Times New Roman"/>
              </w:rPr>
            </w:pPr>
            <w:r>
              <w:rPr>
                <w:sz w:val="24"/>
                <w:rFonts w:ascii="Times New Roman" w:hAnsi="Times New Roman"/>
              </w:rPr>
              <w:t xml:space="preserve">8.2. Fors-major holati mavjud boʻlgan tomon 3 kun ichida boshqa tomonni fors-major holati boshlangan muddatlarni koʻrsatgan holda yozma ravishda ogohlantirishi lozim.</w:t>
            </w:r>
          </w:p>
          <w:p>
            <w:pPr>
              <w:jc w:val="both"/>
              <w:ind w:firstLine="709"/>
              <w:spacing w:after="0" w:line="240" w:lineRule="auto"/>
              <w:rPr>
                <w:b/>
                <w:sz w:val="24"/>
                <w:rFonts w:ascii="Times New Roman" w:hAnsi="Times New Roman"/>
              </w:rPr>
            </w:pPr>
            <w:r>
              <w:rPr>
                <w:sz w:val="24"/>
                <w:rFonts w:ascii="Times New Roman" w:hAnsi="Times New Roman"/>
              </w:rPr>
              <w:t xml:space="preserve">8.3. Agar fors-major holatining shartnoma shartlarini bajarishga uch oydan koʻp muddat toʻsqinlik qilsa, tomonlardan biri shartnomani bekor qilish huquqiga ega.</w:t>
            </w:r>
          </w:p>
          <w:p>
            <w:pPr>
              <w:jc w:val="right"/>
              <w:spacing w:after="0" w:line="264" w:lineRule="auto"/>
              <w:rPr>
                <w:b/>
                <w:sz w:val="28"/>
                <w:rFonts w:ascii="Times New Roman" w:hAnsi="Times New Roman"/>
              </w:rPr>
            </w:pPr>
          </w:p>
        </w:tc>
      </w:tr>
      <w:tr>
        <w:tc>
          <w:tcPr>
            <w:tcW w:w="10065" w:type="dxa"/>
            <w:gridSpan w:val="2"/>
          </w:tcPr>
          <w:p>
            <w:pPr>
              <w:jc w:val="center"/>
              <w:spacing w:before="120" w:after="120" w:line="240" w:lineRule="auto"/>
              <w:rPr>
                <w:b/>
                <w:sz w:val="24"/>
                <w:rFonts w:ascii="Times New Roman" w:hAnsi="Times New Roman"/>
              </w:rPr>
            </w:pPr>
            <w:r>
              <w:rPr>
                <w:b/>
                <w:sz w:val="24"/>
                <w:rFonts w:ascii="Times New Roman" w:hAnsi="Times New Roman"/>
              </w:rPr>
              <w:t xml:space="preserve">IX. SHARTNOMANING AMAL QILISH MUDDATI</w:t>
            </w:r>
          </w:p>
          <w:p>
            <w:pPr>
              <w:jc w:val="both"/>
              <w:ind w:firstLine="708"/>
              <w:spacing w:after="0" w:line="240" w:lineRule="auto"/>
              <w:rPr>
                <w:sz w:val="24"/>
                <w:rFonts w:ascii="Times New Roman" w:hAnsi="Times New Roman"/>
              </w:rPr>
            </w:pPr>
            <w:r>
              <w:rPr>
                <w:sz w:val="24"/>
                <w:rFonts w:ascii="Times New Roman" w:hAnsi="Times New Roman"/>
              </w:rPr>
              <w:t xml:space="preserve">9.1 Ushbu shartnoma ikki nusxada tuzilgan boʻlib, ikki tarafda bir nusxadan saqlanadi.</w:t>
            </w:r>
          </w:p>
          <w:p>
            <w:pPr>
              <w:jc w:val="both"/>
              <w:ind w:firstLine="708"/>
              <w:spacing w:after="0" w:line="240" w:lineRule="auto"/>
              <w:rPr>
                <w:sz w:val="24"/>
                <w:rFonts w:ascii="Times New Roman" w:hAnsi="Times New Roman"/>
              </w:rPr>
            </w:pPr>
            <w:r>
              <w:rPr>
                <w:sz w:val="24"/>
                <w:rFonts w:ascii="Times New Roman" w:hAnsi="Times New Roman"/>
              </w:rPr>
              <w:t xml:space="preserve">9.2  Shartnoma gʻaznachilik boʻlinmalarida roʻyhatga olingan kundan boshlab kuchga kiradi va </w:t>
            </w:r>
            <w:r>
              <w:rPr>
                <w:vanish w:val="false"/>
                <w:sz w:val="24"/>
                <w:rFonts w:ascii="Times New Roman" w:hAnsi="Times New Roman"/>
              </w:rPr>
              <w:fldChar w:fldCharType="begin"/>
              <w:instrText xml:space="preserve">X {"Y":35}</w:instrText>
              <w:fldChar w:fldCharType="separate"/>
              <w:t xml:space="preserve">Shartnomaning amal qilishi tugaydigan kun (muddat)</w:t>
            </w:r>
            <w:r>
              <w:rPr>
                <w:vanish w:val="false"/>
                <w:sz w:val="24"/>
                <w:rFonts w:ascii="Times New Roman" w:hAnsi="Times New Roman"/>
              </w:rPr>
              <w:fldChar w:fldCharType="end"/>
            </w:r>
            <w:r>
              <w:rPr>
                <w:sz w:val="24"/>
                <w:rFonts w:ascii="Times New Roman" w:hAnsi="Times New Roman"/>
              </w:rPr>
              <w:t xml:space="preserve">gacha amal qiladi, yoki taraflardan biri boʻlmish isteʼmolchi yetkazib beruvchini ogohlantirgan holda, toʻlovlarni toʻliq toʻlagan kuniga qadar amalga qiladi.</w:t>
            </w:r>
          </w:p>
          <w:p>
            <w:pPr>
              <w:jc w:val="right"/>
              <w:spacing w:after="0" w:line="264" w:lineRule="auto"/>
              <w:rPr>
                <w:b/>
                <w:sz w:val="28"/>
                <w:rFonts w:ascii="Times New Roman" w:hAnsi="Times New Roman"/>
              </w:rPr>
            </w:pPr>
          </w:p>
        </w:tc>
      </w:tr>
      <w:tr>
        <w:tc>
          <w:tcPr>
            <w:tcW w:w="10065" w:type="dxa"/>
            <w:gridSpan w:val="2"/>
          </w:tcPr>
          <w:p>
            <w:pPr>
              <w:jc w:val="center"/>
              <w:spacing w:before="120" w:after="120" w:line="240" w:lineRule="auto"/>
              <w:rPr>
                <w:b/>
                <w:sz w:val="24"/>
                <w:rFonts w:ascii="Times New Roman" w:hAnsi="Times New Roman"/>
              </w:rPr>
            </w:pPr>
          </w:p>
          <w:p>
            <w:pPr>
              <w:jc w:val="center"/>
              <w:spacing w:before="120" w:after="120" w:line="240" w:lineRule="auto"/>
              <w:rPr>
                <w:b/>
                <w:sz w:val="24"/>
                <w:rFonts w:ascii="Times New Roman" w:hAnsi="Times New Roman"/>
              </w:rPr>
            </w:pPr>
          </w:p>
          <w:p>
            <w:pPr>
              <w:jc w:val="center"/>
              <w:spacing w:before="120" w:after="120" w:line="240" w:lineRule="auto"/>
              <w:rPr>
                <w:b/>
                <w:sz w:val="28"/>
                <w:rFonts w:ascii="Times New Roman" w:hAnsi="Times New Roman"/>
              </w:rPr>
            </w:pPr>
            <w:r>
              <w:rPr>
                <w:sz w:val="24"/>
                <w:rFonts w:ascii="Times New Roman" w:hAnsi="Times New Roman"/>
              </w:rPr>
            </w:r>
            <w:r>
              <w:rPr>
                <w:b/>
                <w:sz w:val="24"/>
                <w:rFonts w:ascii="Times New Roman" w:hAnsi="Times New Roman"/>
              </w:rPr>
              <w:t xml:space="preserve">X. TARAFLARNING YURIDIK MANZILI:</w:t>
            </w:r>
          </w:p>
        </w:tc>
      </w:tr>
      <w:tr>
        <w:tc>
          <w:tcPr>
            <w:tcW w:w="4680" w:type="dxa"/>
          </w:tcPr>
          <w:p>
            <w:pPr>
              <w:jc w:val="center"/>
              <w:rPr>
                <w:b/>
                <w:sz w:val="24"/>
                <w:rFonts w:ascii="Times New Roman" w:hAnsi="Times New Roman"/>
              </w:rPr>
            </w:pPr>
            <w:r>
              <w:rPr>
                <w:b/>
                <w:sz w:val="24"/>
                <w:rFonts w:ascii="Times New Roman" w:hAnsi="Times New Roman"/>
              </w:rPr>
              <w:t>Taʼminotchi:</w:t>
            </w:r>
          </w:p>
        </w:tc>
        <w:tc>
          <w:tcPr>
            <w:tcW w:w="5385" w:type="dxa"/>
          </w:tcPr>
          <w:p>
            <w:pPr>
              <w:jc w:val="center"/>
              <w:rPr>
                <w:b/>
                <w:sz w:val="24"/>
                <w:rFonts w:ascii="Times New Roman" w:hAnsi="Times New Roman"/>
              </w:rPr>
            </w:pPr>
            <w:r>
              <w:rPr>
                <w:b/>
                <w:sz w:val="24"/>
                <w:rFonts w:ascii="Times New Roman" w:hAnsi="Times New Roman"/>
              </w:rPr>
              <w:t>Isteʼmolchi:</w:t>
            </w:r>
          </w:p>
          <w:p>
            <w:pPr>
              <w:jc w:val="center"/>
              <w:rPr>
                <w:b/>
                <w:sz w:val="24"/>
                <w:rFonts w:ascii="Times New Roman" w:hAnsi="Times New Roman"/>
              </w:rPr>
            </w:pPr>
            <w:r>
              <w:rPr>
                <w:b/>
                <w:sz w:val="24"/>
                <w:rFonts w:ascii="Times New Roman" w:hAnsi="Times New Roman"/>
              </w:rPr>
            </w:r>
          </w:p>
        </w:tc>
      </w:tr>
      <w:tr>
        <w:tc>
          <w:tcPr>
            <w:tcW w:w="4680" w:type="dxa"/>
          </w:tcPr>
          <w:p>
            <w:pPr>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“Taʼminotchi” tarafning nomi</w:t>
            </w:r>
            <w:r>
              <w:rPr>
                <w:vanish w:val="false"/>
                <w:sz w:val="24"/>
                <w:rFonts w:ascii="Times New Roman" w:hAnsi="Times New Roman"/>
              </w:rPr>
              <w:fldChar w:fldCharType="end"/>
            </w:r>
          </w:p>
        </w:tc>
        <w:tc>
          <w:tcPr>
            <w:tcW w:w="5385" w:type="dxa"/>
          </w:tcPr>
          <w:p>
            <w:pPr>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{"Y":16}</w:instrText>
              <w:fldChar w:fldCharType="separate"/>
              <w:t xml:space="preserve">Isteʼmolchining manzili</w:t>
            </w:r>
            <w:r>
              <w:rPr>
                <w:vanish w:val="false"/>
                <w:sz w:val="24"/>
                <w:rFonts w:ascii="Times New Roman" w:hAnsi="Times New Roman"/>
              </w:rPr>
              <w:fldChar w:fldCharType="end"/>
            </w:r>
          </w:p>
        </w:tc>
      </w:tr>
      <w:tr>
        <w:tc>
          <w:tcPr>
            <w:tcW w:w="4680" w:type="dxa"/>
          </w:tcPr>
          <w:p>
            <w:pPr>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{"Y":9}</w:instrText>
              <w:fldChar w:fldCharType="separate"/>
              <w:t xml:space="preserve">“Taʼminotchi” tarafning manzili</w:t>
            </w:r>
            <w:r>
              <w:rPr>
                <w:vanish w:val="false"/>
                <w:sz w:val="24"/>
                <w:rFonts w:ascii="Times New Roman" w:hAnsi="Times New Roman"/>
              </w:rPr>
              <w:fldChar w:fldCharType="end"/>
            </w:r>
          </w:p>
        </w:tc>
        <w:tc>
          <w:tcPr>
            <w:tcW w:w="5385" w:type="dxa"/>
          </w:tcPr>
          <w:p>
            <w:pPr>
              <w:rPr>
                <w:b/>
                <w:sz w:val="24"/>
                <w:rFonts w:ascii="Times New Roman" w:hAnsi="Times New Roman"/>
              </w:rPr>
            </w:pPr>
            <w:r>
              <w:rPr>
                <w:sz w:val="24"/>
                <w:rFonts w:ascii="Times New Roman" w:hAnsi="Times New Roman"/>
              </w:rPr>
              <w:t xml:space="preserve">Pasport raqami: </w:t>
            </w:r>
            <w:r>
              <w:rPr>
                <w:vanish w:val="false"/>
                <w:sz w:val="24"/>
                <w:rFonts w:ascii="Times New Roman" w:hAnsi="Times New Roman"/>
              </w:rPr>
              <w:fldChar w:fldCharType="begin"/>
              <w:instrText xml:space="preserve">X {"Y":18}</w:instrText>
              <w:fldChar w:fldCharType="separate"/>
              <w:t xml:space="preserve">Isteʼmolchining pasport seriyasi va raqami</w:t>
            </w:r>
            <w:r>
              <w:rPr>
                <w:vanish w:val="false"/>
                <w:sz w:val="24"/>
                <w:rFonts w:ascii="Times New Roman" w:hAnsi="Times New Roman"/>
              </w:rPr>
              <w:fldChar w:fldCharType="end"/>
            </w:r>
          </w:p>
        </w:tc>
      </w:tr>
      <w:tr>
        <w:tc>
          <w:tcPr>
            <w:tcW w:w="4680" w:type="dxa"/>
          </w:tcPr>
          <w:p>
            <w:pPr>
              <w:rPr>
                <w:b/>
                <w:i/>
                <w:sz w:val="24"/>
                <w:rFonts w:ascii="Times New Roman" w:hAnsi="Times New Roman"/>
              </w:rPr>
            </w:pPr>
            <w:r>
              <w:rPr>
                <w:sz w:val="24"/>
                <w:rFonts w:ascii="Times New Roman" w:hAnsi="Times New Roman"/>
              </w:rPr>
              <w:t xml:space="preserve">Bank: </w:t>
            </w:r>
            <w:r>
              <w:rPr>
                <w:vanish w:val="false"/>
                <w:sz w:val="24"/>
                <w:rFonts w:ascii="Times New Roman" w:hAnsi="Times New Roman"/>
              </w:rPr>
              <w:fldChar w:fldCharType="begin"/>
              <w:instrText xml:space="preserve">X {"Y":10}</w:instrText>
              <w:fldChar w:fldCharType="separate"/>
              <w:t xml:space="preserve">“Taʼminotchi” tarafning hisob raqami joylashgan bank nomi</w:t>
            </w:r>
            <w:r>
              <w:rPr>
                <w:vanish w:val="false"/>
                <w:sz w:val="24"/>
                <w:rFonts w:ascii="Times New Roman" w:hAnsi="Times New Roman"/>
              </w:rPr>
              <w:fldChar w:fldCharType="end"/>
            </w:r>
          </w:p>
        </w:tc>
        <w:tc>
          <w:tcPr>
            <w:tcW w:w="5385" w:type="dxa"/>
          </w:tcPr>
          <w:p>
            <w:pPr>
              <w:rPr>
                <w:b/>
                <w:sz w:val="24"/>
                <w:rFonts w:ascii="Times New Roman" w:hAnsi="Times New Roman"/>
              </w:rPr>
            </w:pPr>
            <w:r>
              <w:rPr>
                <w:sz w:val="24"/>
                <w:rFonts w:ascii="Times New Roman" w:hAnsi="Times New Roman"/>
              </w:rPr>
              <w:t xml:space="preserve">Tugʻilgan sanasi: </w:t>
            </w:r>
            <w:r>
              <w:rPr>
                <w:vanish w:val="false"/>
                <w:sz w:val="24"/>
                <w:rFonts w:ascii="Times New Roman" w:hAnsi="Times New Roman"/>
              </w:rPr>
              <w:fldChar w:fldCharType="begin"/>
              <w:instrText xml:space="preserve">X {"Y":17}</w:instrText>
              <w:fldChar w:fldCharType="separate"/>
              <w:t xml:space="preserve">Isteʼmolchining tug‘ilgan sanasi</w:t>
            </w:r>
            <w:r>
              <w:rPr>
                <w:vanish w:val="false"/>
                <w:sz w:val="24"/>
                <w:rFonts w:ascii="Times New Roman" w:hAnsi="Times New Roman"/>
              </w:rPr>
              <w:fldChar w:fldCharType="end"/>
            </w:r>
          </w:p>
        </w:tc>
      </w:tr>
      <w:tr>
        <w:tc>
          <w:tcPr>
            <w:tcW w:w="4680" w:type="dxa"/>
          </w:tcPr>
          <w:p>
            <w:pPr>
              <w:pStyle w:val="a4"/>
              <w:ind w:left="0"/>
              <w:spacing w:line="288" w:lineRule="auto"/>
              <w:rPr>
                <w:b w:val="false"/>
                <w:sz w:val="24"/>
                <w:rFonts w:ascii="Times New Roman" w:hAnsi="Times New Roman"/>
              </w:rPr>
            </w:pPr>
            <w:r>
              <w:rPr>
                <w:b w:val="false"/>
                <w:sz w:val="24"/>
              </w:rPr>
              <w:t xml:space="preserve">H/R: </w:t>
            </w:r>
            <w:r>
              <w:rPr>
                <w:b w:val="false"/>
                <w:vanish w:val="false"/>
                <w:sz w:val="24"/>
                <w:rFonts w:ascii="Times New Roman" w:hAnsi="Times New Roman"/>
              </w:rPr>
              <w:fldChar w:fldCharType="begin"/>
              <w:instrText xml:space="preserve">X {"Y":11}</w:instrText>
              <w:fldChar w:fldCharType="separate"/>
              <w:t xml:space="preserve">“Taʼminotchi” tarafning hisob raqami</w:t>
            </w:r>
            <w:r>
              <w:rPr>
                <w:b w:val="false"/>
                <w:vanish w:val="false"/>
                <w:sz w:val="24"/>
                <w:rFonts w:ascii="Times New Roman" w:hAnsi="Times New Roman"/>
              </w:rPr>
              <w:fldChar w:fldCharType="end"/>
            </w:r>
          </w:p>
        </w:tc>
        <w:tc>
          <w:tcPr>
            <w:tcW w:w="5385" w:type="dxa"/>
          </w:tcPr>
          <w:p>
            <w:pPr>
              <w:rPr>
                <w:b/>
                <w:sz w:val="24"/>
                <w:rFonts w:ascii="Times New Roman" w:hAnsi="Times New Roman"/>
              </w:rPr>
            </w:pPr>
            <w:r>
              <w:rPr>
                <w:sz w:val="24"/>
                <w:rFonts w:ascii="Times New Roman" w:hAnsi="Times New Roman"/>
              </w:rPr>
              <w:t xml:space="preserve">Pasport qachon va kim tomonidan berilgan: </w:t>
            </w:r>
            <w:r>
              <w:rPr>
                <w:vanish w:val="false"/>
                <w:sz w:val="24"/>
                <w:rFonts w:ascii="Times New Roman" w:hAnsi="Times New Roman"/>
              </w:rPr>
              <w:fldChar w:fldCharType="begin"/>
              <w:instrText xml:space="preserve">X {"Y":19}</w:instrText>
              <w:fldChar w:fldCharType="separate"/>
              <w:t xml:space="preserve">Isteʼmolchiga pasport qachon va kim tomonidan berilgan</w:t>
            </w:r>
            <w:r>
              <w:rPr>
                <w:vanish w:val="false"/>
                <w:sz w:val="24"/>
                <w:rFonts w:ascii="Times New Roman" w:hAnsi="Times New Roman"/>
              </w:rPr>
              <w:fldChar w:fldCharType="end"/>
            </w:r>
          </w:p>
        </w:tc>
      </w:tr>
      <w:tr>
        <w:tc>
          <w:tcPr>
            <w:tcW w:w="4680" w:type="dxa"/>
          </w:tcPr>
          <w:p>
            <w:pPr>
              <w:rPr>
                <w:b/>
                <w:i/>
                <w:sz w:val="24"/>
                <w:rFonts w:ascii="Times New Roman" w:hAnsi="Times New Roman"/>
              </w:rPr>
            </w:pPr>
            <w:r>
              <w:rPr>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“Taʼminotchi” tarafning STIR raqami </w:t>
            </w:r>
            <w:r>
              <w:rPr>
                <w:vanish w:val="false"/>
                <w:sz w:val="24"/>
                <w:rFonts w:ascii="Times New Roman" w:hAnsi="Times New Roman"/>
              </w:rPr>
              <w:fldChar w:fldCharType="end"/>
            </w:r>
          </w:p>
        </w:tc>
        <w:tc>
          <w:tcPr>
            <w:tcW w:w="5385" w:type="dxa"/>
          </w:tcPr>
          <w:p>
            <w:pPr>
              <w:rPr>
                <w:b/>
                <w:i/>
                <w:sz w:val="24"/>
                <w:rFonts w:ascii="Times New Roman" w:hAnsi="Times New Roman"/>
              </w:rPr>
            </w:pPr>
            <w:r>
              <w:rPr>
                <w:vanish w:val="false"/>
                <w:sz w:val="24"/>
                <w:rFonts w:ascii="Times New Roman" w:hAnsi="Times New Roman"/>
              </w:rPr>
              <w:t xml:space="preserve">Telefon:  </w:t>
            </w:r>
            <w:r>
              <w:rPr>
                <w:vanish w:val="false"/>
                <w:sz w:val="24"/>
                <w:rFonts w:ascii="Times New Roman" w:hAnsi="Times New Roman"/>
              </w:rPr>
              <w:fldChar w:fldCharType="begin"/>
              <w:instrText xml:space="preserve">X {"Y":20}</w:instrText>
              <w:fldChar w:fldCharType="separate"/>
              <w:t xml:space="preserve">Isteʼmolchining telefon raqami</w:t>
            </w:r>
            <w:r>
              <w:rPr>
                <w:vanish w:val="false"/>
                <w:sz w:val="24"/>
                <w:rFonts w:ascii="Times New Roman" w:hAnsi="Times New Roman"/>
              </w:rPr>
              <w:fldChar w:fldCharType="end"/>
            </w:r>
          </w:p>
        </w:tc>
      </w:tr>
      <w:tr>
        <w:tc>
          <w:tcPr>
            <w:tcW w:w="4680" w:type="dxa"/>
          </w:tcPr>
          <w:p>
            <w:pPr>
              <w:rPr>
                <w:b/>
                <w:i/>
                <w:sz w:val="24"/>
                <w:rFonts w:ascii="Times New Roman" w:hAnsi="Times New Roman"/>
              </w:rPr>
            </w:pPr>
            <w:r>
              <w:rPr>
                <w:vanish w:val="false"/>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“Taʼminotchi” tarafning telefon raqami</w:t>
            </w:r>
            <w:r>
              <w:rPr>
                <w:vanish w:val="false"/>
                <w:sz w:val="24"/>
                <w:rFonts w:ascii="Times New Roman" w:hAnsi="Times New Roman"/>
              </w:rPr>
              <w:fldChar w:fldCharType="end"/>
            </w:r>
          </w:p>
        </w:tc>
        <w:tc>
          <w:tcPr>
            <w:tcW w:w="5385" w:type="dxa"/>
          </w:tcPr>
          <w:p>
            <w:pPr>
              <w:rPr>
                <w:b/>
                <w:i/>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Isteʼmolchining F.I.Osi</w:t>
            </w:r>
            <w:r>
              <w:rPr>
                <w:vanish w:val="false"/>
                <w:sz w:val="24"/>
                <w:rFonts w:ascii="Times New Roman" w:hAnsi="Times New Roman"/>
              </w:rPr>
              <w:fldChar w:fldCharType="end"/>
            </w:r>
          </w:p>
        </w:tc>
      </w:tr>
      <w:tr>
        <w:tc>
          <w:tcPr>
            <w:tcW w:w="4680" w:type="dxa"/>
          </w:tcPr>
          <w:p>
            <w:pPr>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“Taʼminotchi” taraf nomidan ish olib boruvchi shaxsning lavozimi va F.I.O.si</w:t>
            </w:r>
            <w:r>
              <w:rPr>
                <w:vanish w:val="false"/>
                <w:sz w:val="24"/>
                <w:rFonts w:ascii="Times New Roman" w:hAnsi="Times New Roman"/>
              </w:rPr>
              <w:fldChar w:fldCharType="end"/>
            </w:r>
          </w:p>
          <w:p>
            <w:pPr>
              <w:rPr>
                <w:sz w:val="24"/>
                <w:rFonts w:ascii="Times New Roman" w:hAnsi="Times New Roman"/>
              </w:rPr>
            </w:pPr>
            <w:r>
              <w:rPr>
                <w:vanish w:val="false"/>
                <w:sz w:val="24"/>
                <w:rFonts w:ascii="Times New Roman" w:hAnsi="Times New Roman"/>
              </w:rPr>
            </w:r>
          </w:p>
        </w:tc>
        <w:tc>
          <w:tcPr>
            <w:tcW w:w="5385" w:type="dxa"/>
          </w:tcPr>
          <w:p>
            <w:pPr>
              <w:rPr>
                <w:b/>
                <w:sz w:val="24"/>
                <w:rFonts w:ascii="Times New Roman" w:hAnsi="Times New Roman"/>
              </w:rPr>
            </w:pPr>
            <w:r>
              <w:rPr>
                <w:vanish w:val="false"/>
              </w:rPr>
            </w:r>
          </w:p>
        </w:tc>
      </w:tr>
      <w:tr>
        <w:tc>
          <w:tcPr>
            <w:tcW w:w="4680" w:type="dxa"/>
          </w:tcPr>
          <w:p>
            <w:pPr>
              <w:jc w:val="center"/>
              <w:rPr>
                <w:b/>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c>
          <w:tcPr>
            <w:tcW w:w="5385" w:type="dxa"/>
          </w:tcPr>
          <w:p>
            <w:pPr>
              <w:jc w:val="center"/>
              <w:rPr>
                <w:b/>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r>
      <w:tr>
        <w:tc>
          <w:tcPr>
            <w:tcW w:w="10065" w:type="dxa"/>
            <w:gridSpan w:val="2"/>
          </w:tcPr>
          <w:p>
            <w:pPr>
              <w:jc w:val="center"/>
            </w:pPr>
            <w:r>
              <w:rPr>
                <w:vanish w:val="false"/>
              </w:rPr>
            </w:r>
          </w:p>
          <w:p>
            <w:pPr>
              <w:rPr>
                <w:b/>
                <w:sz w:val="24"/>
                <w:rFonts w:ascii="Times New Roman" w:hAnsi="Times New Roman"/>
              </w:rPr>
            </w:pPr>
            <w:r>
              <w:rPr>
                <w:b/>
                <w:vanish w:val="false"/>
                <w:sz w:val="24"/>
                <w:rFonts w:ascii="Times New Roman" w:hAnsi="Times New Roman"/>
              </w:rPr>
            </w:r>
          </w:p>
          <w:p>
            <w:pPr>
              <w:pStyle w:val="a4"/>
              <w:ind w:left="644"/>
              <w:rPr>
                <w:b w:val="false"/>
                <w:rFonts w:ascii="Times New Roman" w:hAnsi="Times New Roman"/>
              </w:rPr>
            </w:pPr>
            <w:r>
              <w:rPr>
                <w:vanish w:val="false"/>
              </w:rPr>
            </w:r>
          </w:p>
          <w:p>
            <w:pPr>
              <w:jc w:val="right"/>
              <w:spacing w:after="0" w:line="264" w:lineRule="auto"/>
              <w:rPr>
                <w:b/>
                <w:sz w:val="28"/>
                <w:rFonts w:ascii="Times New Roman" w:hAnsi="Times New Roman"/>
              </w:rPr>
            </w:pPr>
            <w:r>
              <w:rPr>
                <w:vanish w:val="false"/>
              </w:rPr>
            </w:r>
          </w:p>
          <w:p>
            <w:pPr>
              <w:jc w:val="right"/>
              <w:spacing w:after="0" w:line="264" w:lineRule="auto"/>
              <w:rPr>
                <w:b/>
                <w:sz w:val="28"/>
                <w:rFonts w:ascii="Times New Roman" w:hAnsi="Times New Roman"/>
              </w:rPr>
            </w:pPr>
            <w:r>
              <w:rPr>
                <w:vanish w:val="false"/>
              </w:rPr>
            </w:r>
          </w:p>
          <w:p>
            <w:pPr>
              <w:jc w:val="right"/>
              <w:spacing w:after="0" w:line="264" w:lineRule="auto"/>
              <w:rPr>
                <w:b/>
                <w:sz w:val="28"/>
                <w:rFonts w:ascii="Times New Roman" w:hAnsi="Times New Roman"/>
              </w:rPr>
            </w:pPr>
            <w:r>
              <w:rPr>
                <w:vanish w:val="false"/>
              </w:rPr>
            </w:r>
          </w:p>
          <w:p>
            <w:pPr>
              <w:jc w:val="right"/>
              <w:spacing w:after="0" w:line="264" w:lineRule="auto"/>
              <w:rPr>
                <w:b/>
                <w:sz w:val="28"/>
                <w:rFonts w:ascii="Times New Roman" w:hAnsi="Times New Roman"/>
              </w:rPr>
            </w:pPr>
            <w:r>
              <w:rPr>
                <w:vanish w:val="false"/>
              </w:rPr>
            </w:r>
          </w:p>
          <w:p>
            <w:pPr>
              <w:jc w:val="right"/>
              <w:spacing w:after="0" w:line="264" w:lineRule="auto"/>
              <w:rPr>
                <w:b/>
                <w:sz w:val="28"/>
                <w:rFonts w:ascii="Times New Roman" w:hAnsi="Times New Roman"/>
              </w:rPr>
            </w:pPr>
            <w:r>
              <w:rPr>
                <w:vanish w:val="false"/>
              </w:rPr>
            </w:r>
          </w:p>
        </w:tc>
      </w:tr>
    </w:tbl>
    <w:p>
      <w:pPr>
        <w:jc w:val="right"/>
        <w:ind w:left="5664" w:hanging="84"/>
        <w:spacing w:after="0" w:line="264" w:lineRule="auto"/>
        <w:rPr>
          <w:b/>
          <w:sz w:val="28"/>
          <w:rFonts w:ascii="Times New Roman" w:hAnsi="Times New Roman"/>
        </w:rPr>
      </w:pPr>
      <w:r>
        <w:rPr>
          <w:vanish w:val="false"/>
        </w:rPr>
      </w:r>
    </w:p>
    <w:p>
      <w:pPr>
        <w:jc w:val="right"/>
        <w:ind w:left="5664" w:hanging="84"/>
        <w:spacing w:after="0" w:line="264" w:lineRule="auto"/>
        <w:rPr>
          <w:b/>
          <w:sz w:val="28"/>
          <w:rFonts w:ascii="Times New Roman" w:hAnsi="Times New Roman"/>
        </w:rPr>
      </w:pPr>
      <w:r>
        <w:rPr>
          <w:vanish w:val="false"/>
        </w:rPr>
      </w:r>
    </w:p>
    <w:p>
      <w:pPr>
        <w:jc w:val="right"/>
        <w:ind w:left="5664" w:hanging="84"/>
        <w:spacing w:after="0" w:line="264" w:lineRule="auto"/>
        <w:rPr>
          <w:b/>
          <w:sz w:val="28"/>
          <w:rFonts w:ascii="Times New Roman" w:hAnsi="Times New Roman"/>
        </w:rPr>
      </w:pPr>
      <w:r>
        <w:rPr>
          <w:vanish w:val="false"/>
        </w:rPr>
      </w:r>
    </w:p>
    <w:p>
      <w:pPr>
        <w:jc w:val="right"/>
        <w:ind w:left="5664" w:hanging="84"/>
        <w:spacing w:after="0" w:line="264" w:lineRule="auto"/>
        <w:rPr>
          <w:b/>
          <w:sz w:val="28"/>
          <w:rFonts w:ascii="Times New Roman" w:hAnsi="Times New Roman"/>
        </w:rPr>
      </w:pPr>
      <w:r>
        <w:rPr>
          <w:vanish w:val="false"/>
        </w:rPr>
      </w:r>
    </w:p>
    <w:p>
      <w:pPr>
        <w:jc w:val="right"/>
        <w:ind w:left="5664" w:hanging="84"/>
        <w:spacing w:after="0" w:line="264" w:lineRule="auto"/>
        <w:rPr>
          <w:b/>
          <w:sz w:val="28"/>
          <w:rFonts w:ascii="Times New Roman" w:hAnsi="Times New Roman"/>
        </w:rPr>
      </w:pPr>
      <w:r>
        <w:rPr>
          <w:vanish w:val="false"/>
        </w:rPr>
      </w:r>
    </w:p>
    <w:p>
      <w:pPr>
        <w:jc w:val="right"/>
        <w:ind w:left="5664" w:hanging="84"/>
        <w:spacing w:after="0" w:line="264" w:lineRule="auto"/>
        <w:rPr>
          <w:b/>
          <w:sz w:val="24"/>
          <w:rFonts w:ascii="Times New Roman" w:hAnsi="Times New Roman"/>
        </w:rPr>
      </w:pPr>
      <w:r>
        <w:rPr>
          <w:vanish w:val="false"/>
        </w:rPr>
      </w:r>
    </w:p>
    <w:sectPr>
      <w:pgSz w:w="11906" w:h="16838"/>
      <w:pgMar w:left="1701" w:right="851" w:top="705"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F7119"/>
    <w:multiLevelType w:val="hybridMultilevel"/>
    <w:tmpl w:val="21843A46"/>
    <w:lvl w:ilvl="0" w:tplc="1F5ECF84">
      <w:start w:val="1"/>
      <w:numFmt w:val="decimal"/>
      <w:lvlText w:val="%1."/>
      <w:lvlJc w:val="left"/>
      <w:pPr>
        <w:ind w:left="643"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C1"/>
    <w:rsid w:val="002C359F"/>
    <w:rsid w:val="003078A0"/>
    <w:rsid w:val="00326371"/>
    <w:rsid w:val="00375ED0"/>
    <w:rsid w:val="003E030C"/>
    <w:rsid w:val="00443FB3"/>
    <w:rsid w:val="00580CD4"/>
    <w:rsid w:val="005A416D"/>
    <w:rsid w:val="005F6699"/>
    <w:rsid w:val="00640FC6"/>
    <w:rsid w:val="00725E48"/>
    <w:rsid w:val="0086711C"/>
    <w:rsid w:val="00901CD8"/>
    <w:rsid w:val="0099121C"/>
    <w:rsid w:val="00A22C9D"/>
    <w:rsid w:val="00AA4807"/>
    <w:rsid w:val="00B33609"/>
    <w:rsid w:val="00B4637D"/>
    <w:rsid w:val="00B5167A"/>
    <w:rsid w:val="00BD6259"/>
    <w:rsid w:val="00C662F6"/>
    <w:rsid w:val="00DB4EC1"/>
    <w:rsid w:val="00E456CD"/>
    <w:rsid w:val="00EC2A3A"/>
    <w:rsid w:val="00ED0FE0"/>
    <w:rsid w:val="00EF3629"/>
    <w:rsid w:val="00FF0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11EA"/>
  <w15:chartTrackingRefBased/>
  <w15:docId w15:val="{B84F0BA4-2A0A-4D5D-AFF8-09B1A18D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4807"/>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AA4807"/>
    <w:pPr>
      <w:spacing w:after="0" w:line="240" w:lineRule="auto"/>
    </w:pPr>
    <w:rPr>
      <w:rFonts w:ascii="Calibri" w:eastAsia="Times New Roman" w:hAnsi="Calibri" w:cs="Calibri"/>
    </w:rPr>
  </w:style>
  <w:style w:type="table" w:styleId="a3">
    <w:name w:val="Table Grid"/>
    <w:basedOn w:val="a1"/>
    <w:uiPriority w:val="39"/>
    <w:rsid w:val="00867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078A0"/>
    <w:pPr>
      <w:spacing w:after="0" w:line="240" w:lineRule="auto"/>
      <w:ind w:left="720"/>
      <w:contextualSpacing/>
    </w:pPr>
    <w:rPr>
      <w:rFonts w:ascii="Times New Roman" w:eastAsia="Times New Roman" w:hAnsi="Times New Roman" w:cs="Times New Roman"/>
      <w:b/>
      <w:sz w:val="28"/>
      <w:szCs w:val="20"/>
      <w:lang w:eastAsia="ru-RU"/>
    </w:rPr>
  </w:style>
  <w:style w:type="paragraph" w:styleId="a5">
    <w:name w:val="Plain Text"/>
    <w:basedOn w:val="a"/>
    <w:link w:val="a6"/>
    <w:rsid w:val="005A416D"/>
    <w:pPr>
      <w:spacing w:after="0" w:line="240" w:lineRule="auto"/>
    </w:pPr>
    <w:rPr>
      <w:rFonts w:ascii="Courier New" w:eastAsia="Times New Roman" w:hAnsi="Courier New" w:cs="Times New Roman"/>
      <w:b/>
      <w:sz w:val="20"/>
      <w:szCs w:val="20"/>
      <w:lang w:eastAsia="ru-RU"/>
    </w:rPr>
  </w:style>
  <w:style w:type="character" w:customStyle="1" w:styleId="a6">
    <w:name w:val="Текст Знак"/>
    <w:basedOn w:val="a0"/>
    <w:link w:val="a5"/>
    <w:rsid w:val="005A416D"/>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52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6</Pages>
  <Words>2157</Words>
  <Characters>12299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BAXODIR MUXAMEDJANOV ORIFOVICH</dc:creator>
  <cp:keywords/>
  <dc:description/>
  <cp:lastModifiedBy>User</cp:lastModifiedBy>
  <cp:revision>26</cp:revision>
  <dcterms:created xsi:type="dcterms:W3CDTF">2021-11-16T07:26:00Z</dcterms:created>
  <dcterms:modified xsi:type="dcterms:W3CDTF">2021-11-27T06:48:00Z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6" w:kind="category" w:selector="check" w:type="string" w:valueMode="normal" w:required="false">
    <w:identifier xml:space="preserve">ID6</w:identifier>
    <w:name xml:space="preserve">“Taʼminotchi” bo‘yicha maʼlumotlar</w:name>
    <w:value w:hidden="true">
      <w:unit w:active="false"/>
    </w:value>
  </w:element>
  <w:element w:id="7" w:kind="variable" w:selector="check" w:type="string" w:valueMode="normal" w:required="false" w:groupID="6">
    <w:identifier xml:space="preserve">ID7</w:identifier>
    <w:name xml:space="preserve">“Taʼminotchi” tarafning nomi</w:name>
    <w:value w:hidden="false">
      <w:unit w:active="false"/>
    </w:value>
  </w:element>
  <w:element w:id="8" w:kind="variable" w:selector="check" w:type="string" w:valueMode="normal" w:required="false" w:groupID="6">
    <w:identifier xml:space="preserve">ID8</w:identifier>
    <w:name xml:space="preserve">“Taʼminotchi” taraf nomidan ish olib boruvchi shaxsning lavozimi va F.I.O.si</w:name>
    <w:comment xml:space="preserve">Masalan: raisi S.Karimov, direktori I. Alimov</w:comment>
    <w:value w:hidden="false">
      <w:unit w:active="false"/>
    </w:value>
  </w:element>
  <w:element w:id="9" w:kind="variable" w:selector="check" w:type="string" w:valueMode="normal" w:required="false" w:groupID="6">
    <w:identifier xml:space="preserve">ID9</w:identifier>
    <w:name xml:space="preserve">“Taʼminotchi” tarafning manzili</w:name>
    <w:value w:hidden="false">
      <w:unit w:active="false"/>
    </w:value>
  </w:element>
  <w:element w:id="10" w:kind="variable" w:selector="check" w:type="string" w:valueMode="normal" w:required="false" w:groupID="6">
    <w:identifier xml:space="preserve">ID10</w:identifier>
    <w:name xml:space="preserve">“Taʼminotchi” tarafning hisob raqami joylashgan bank nomi</w:name>
    <w:value w:hidden="false">
      <w:unit w:active="false"/>
    </w:value>
  </w:element>
  <w:element w:id="11" w:kind="variable" w:selector="check" w:type="string" w:valueMode="normal" w:required="false" w:groupID="6">
    <w:identifier xml:space="preserve">ID11</w:identifier>
    <w:name xml:space="preserve">“Taʼminotchi” tarafning hisob raqami</w:name>
    <w:value w:hidden="false">
      <w:unit w:active="false"/>
    </w:value>
  </w:element>
  <w:element w:id="12" w:kind="variable" w:selector="check" w:type="string" w:valueMode="normal" w:required="false" w:groupID="6">
    <w:identifier xml:space="preserve">ID12</w:identifier>
    <w:name xml:space="preserve">“Taʼminotchi” tarafning STIR raqami </w:name>
    <w:value w:hidden="false">
      <w:unit w:active="false"/>
    </w:value>
  </w:element>
  <w:element w:id="13" w:kind="variable" w:selector="check" w:type="string" w:valueMode="normal" w:required="false" w:groupID="6">
    <w:identifier xml:space="preserve">ID13</w:identifier>
    <w:name xml:space="preserve">“Taʼminotchi” tarafning telefon raqami</w:name>
    <w:value w:hidden="false">
      <w:unit w:active="false"/>
    </w:value>
  </w:element>
  <w:element w:id="14" w:kind="category" w:selector="check" w:type="string" w:valueMode="normal" w:required="false">
    <w:identifier xml:space="preserve">ID14</w:identifier>
    <w:name xml:space="preserve">“Isteʼmolchi” bo‘yicha maʼlumotlar</w:name>
    <w:value w:hidden="true">
      <w:unit w:active="false"/>
    </w:value>
  </w:element>
  <w:element w:id="15" w:kind="variable" w:selector="check" w:type="string" w:valueMode="normal" w:required="false" w:groupID="14">
    <w:identifier xml:space="preserve">ID15</w:identifier>
    <w:name xml:space="preserve">Isteʼmolchining F.I.Osi</w:name>
    <w:value w:hidden="false">
      <w:unit w:active="false"/>
    </w:value>
  </w:element>
  <w:element w:id="16" w:kind="variable" w:selector="check" w:type="string" w:valueMode="normal" w:required="false" w:groupID="14">
    <w:identifier xml:space="preserve">ID16</w:identifier>
    <w:name xml:space="preserve">Isteʼmolchining manzili</w:name>
    <w:comment xml:space="preserve">Izoh: Viloyat, tuman (shahar), mahalla, ko‘cha nomi va uy raqami yoziladi</w:comment>
    <w:value w:hidden="false">
      <w:unit w:active="false"/>
    </w:value>
  </w:element>
  <w:element w:id="17" w:kind="variable" w:selector="check" w:type="date" w:valueMode="normal" w:required="false" w:groupID="14">
    <w:identifier xml:space="preserve">ID17</w:identifier>
    <w:name xml:space="preserve">Isteʼmolchining tug‘ilgan sanasi</w:name>
    <w:value w:hidden="false">
      <w:unit w:active="false"/>
    </w:value>
  </w:element>
  <w:element w:id="18" w:kind="variable" w:selector="check" w:type="string" w:valueMode="normal" w:required="false" w:groupID="14">
    <w:identifier xml:space="preserve">ID18</w:identifier>
    <w:name xml:space="preserve">Isteʼmolchining pasport seriyasi va raqami</w:name>
    <w:value w:hidden="false">
      <w:unit w:active="false"/>
    </w:value>
  </w:element>
  <w:element w:id="19" w:kind="variable" w:selector="check" w:type="string" w:valueMode="normal" w:required="false" w:groupID="14">
    <w:identifier xml:space="preserve">ID19</w:identifier>
    <w:name xml:space="preserve">Isteʼmolchiga pasport qachon va kim tomonidan berilgan</w:name>
    <w:value w:hidden="false">
      <w:unit w:active="false"/>
    </w:value>
  </w:element>
  <w:element w:id="20" w:kind="variable" w:selector="check" w:type="string" w:valueMode="normal" w:required="false" w:groupID="14">
    <w:identifier xml:space="preserve">ID20</w:identifier>
    <w:name xml:space="preserve">Isteʼmolchining telefon raqami</w:name>
    <w:value w:hidden="false">
      <w:unit w:active="false"/>
    </w:value>
  </w:element>
  <w:element w:id="21" w:kind="category" w:selector="check" w:type="string" w:valueMode="normal" w:required="false">
    <w:identifier xml:space="preserve">ID21</w:identifier>
    <w:name xml:space="preserve">Shartnoma mazmuni</w:name>
    <w:value w:hidden="true">
      <w:unit w:active="false"/>
    </w:value>
  </w:element>
  <w:element w:id="23" w:kind="variable" w:selector="check" w:type="string" w:valueMode="normal" w:required="false" w:groupID="21">
    <w:identifier xml:space="preserve">ID23</w:identifier>
    <w:name xml:space="preserve">“Isteʼmolchi”ga yetkazib berilgan 1m3   oqova suvi uchun to‘lov miqdori</w:name>
    <w:value w:hidden="false">
      <w:unit w:active="false"/>
    </w:value>
  </w:element>
  <w:element w:id="24" w:kind="variable" w:selector="check" w:type="string" w:valueMode="normal" w:required="false" w:groupID="21">
    <w:identifier xml:space="preserve">ID24</w:identifier>
    <w:name xml:space="preserve">Suv yetkazib berish muddati</w:name>
    <w:comment xml:space="preserve">Izoh: Ushbu bandda suv qaysi muddat (davr) davomida yetkazib berilishi ko‘rsatiladi</w:comment>
    <w:value w:hidden="false">
      <w:unit w:active="false"/>
    </w:value>
  </w:element>
  <w:element w:id="25" w:kind="variable" w:selector="check" w:type="string" w:valueMode="normal" w:required="false" w:groupID="21">
    <w:identifier xml:space="preserve">ID25</w:identifier>
    <w:name xml:space="preserve">1 m3 suv yetkazib berish uchun belgilangan narx</w:name>
    <w:value w:hidden="false">
      <w:unit w:active="false"/>
    </w:value>
  </w:element>
  <w:element w:id="26" w:kind="variable" w:selector="check" w:type="string" w:valueMode="normal" w:required="false" w:groupID="21">
    <w:identifier xml:space="preserve">ID26</w:identifier>
    <w:name xml:space="preserve">Suv taʼminoti xizmatlari tariflariga  isteʼmolchilar uchun belgilangan ustama xaq miqdori</w:name>
    <w:value w:hidden="false">
      <w:unit w:active="false"/>
    </w:value>
  </w:element>
  <w:element w:id="28" w:kind="variable" w:selector="check" w:type="string" w:valueMode="normal" w:required="false" w:groupID="21">
    <w:identifier xml:space="preserve">ID28</w:identifier>
    <w:name xml:space="preserve">O‘rtacha sutkalik ichimlik suv isteʼmoli limiti</w:name>
    <w:value w:hidden="false">
      <w:unit w:active="false"/>
    </w:value>
  </w:element>
  <w:element w:id="29" w:kind="variable" w:selector="check" w:type="string" w:valueMode="normal" w:required="false" w:groupID="21">
    <w:identifier xml:space="preserve">ID29</w:identifier>
    <w:name xml:space="preserve">Shartnomaning umumiy qiymati necha so‘mni tashkil qiladi</w:name>
    <w:value w:hidden="false">
      <w:unit w:active="false"/>
    </w:value>
  </w:element>
  <w:element w:id="30" w:kind="variable" w:selector="check" w:type="string" w:valueMode="normal" w:required="false" w:groupID="21">
    <w:identifier xml:space="preserve">ID30</w:identifier>
    <w:name xml:space="preserve">Mablag‘ning qancha miqdori davlat byudjetidan to‘lanishi ko‘zda tutilgan</w:name>
    <w:value w:hidden="false">
      <w:unit w:active="false"/>
    </w:value>
  </w:element>
  <w:element w:id="31" w:kind="variable" w:selector="check" w:type="string" w:valueMode="normal" w:required="false" w:groupID="21">
    <w:identifier xml:space="preserve">ID31</w:identifier>
    <w:name xml:space="preserve">Mablag‘ning qancha miqdori davlat byudjetidan tashqari manbalardan to‘lanishi nazarda tutilgan</w:name>
    <w:value w:hidden="false">
      <w:unit w:active="false"/>
    </w:value>
  </w:element>
  <w:element w:id="32" w:kind="variable" w:selector="check" w:type="string" w:valueMode="normal" w:required="false" w:groupID="21">
    <w:identifier xml:space="preserve">ID32</w:identifier>
    <w:name xml:space="preserve">Ichimlik suvi uchun taʼrif belgilash to‘g‘risidagi qarorning raqami</w:name>
    <w:value w:hidden="false">
      <w:unit w:active="false"/>
    </w:value>
  </w:element>
  <w:element w:id="33" w:kind="variable" w:selector="check" w:type="string" w:valueMode="normal" w:required="false" w:groupID="21">
    <w:identifier xml:space="preserve">ID33</w:identifier>
    <w:name xml:space="preserve">Ichimlik suvi uchun taʼrif belgilash to‘g‘risidagi qaror qabul qilingan sana</w:name>
    <w:value w:hidden="false">
      <w:unit w:active="false"/>
    </w:value>
  </w:element>
  <w:element w:id="34" w:kind="variable" w:selector="check" w:type="string" w:valueMode="normal" w:required="false" w:groupID="21">
    <w:identifier xml:space="preserve">ID34</w:identifier>
    <w:name xml:space="preserve">Suv taʼminoti xizmatlari tariflariga isteʼmolchilar uchun belgilangan ustama xaq miqdori</w:name>
    <w:value w:hidden="false">
      <w:unit w:active="false"/>
    </w:value>
  </w:element>
  <w:element w:id="35" w:kind="variable" w:selector="check" w:type="string" w:valueMode="normal" w:required="false" w:groupID="21">
    <w:identifier xml:space="preserve">ID35</w:identifier>
    <w:name xml:space="preserve">Shartnomaning amal qilishi tugaydigan kun (muddat)</w:name>
    <w:value w:hidden="false">
      <w:unit w:active="false"/>
    </w:value>
  </w:element>
</w:structure>
</file>