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91"/>
        <w:gridCol w:w="4880"/>
      </w:tblGrid>
      <w:tr>
        <w:tc>
          <w:tcPr>
            <w:tcW w:w="4691" w:type="dxa"/>
            <w:shd w:fill="auto"/>
          </w:tcPr>
          <w:p>
            <w:pPr>
              <w:ind w:left="709"/>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8"/>
                <w:rFonts w:ascii="Times New Roman" w:hAnsi="Times New Roman"/>
              </w:rPr>
            </w:pPr>
            <w:r>
              <w:rPr>
                <w:color w:val="000000"/>
                <w:sz w:val="24"/>
                <w:rFonts w:ascii="Times New Roman" w:hAnsi="Times New Roman"/>
              </w:rPr>
              <w:t xml:space="preserve">                       </w:t>
            </w:r>
          </w:p>
        </w:tc>
        <w:tc>
          <w:tcPr>
            <w:tcW w:w="4880" w:type="dxa"/>
            <w:shd w:fill="auto"/>
          </w:tcPr>
          <w:p>
            <w:pPr>
              <w:jc w:val="both"/>
              <w:spacing w:after="0" w:line="240"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{"Y":3}</w:instrText>
              <w:fldChar w:fldCharType="separate"/>
              <w:t xml:space="preserve">Iltimosnoma berilgan fuqarolik sudi nomi</w:t>
            </w:r>
            <w:r>
              <w:rPr>
                <w:b/>
                <w:vanish w:val="false"/>
                <w:sz w:val="24"/>
                <w:rFonts w:ascii="Times New Roman" w:hAnsi="Times New Roman"/>
              </w:rPr>
              <w:fldChar w:fldCharType="end"/>
            </w:r>
            <w:r>
              <w:rPr>
                <w:b/>
                <w:sz w:val="24"/>
                <w:rFonts w:ascii="Times New Roman" w:hAnsi="Times New Roman"/>
              </w:rPr>
              <w:t>ga</w:t>
            </w:r>
          </w:p>
          <w:p>
            <w:pPr>
              <w:jc w:val="both"/>
              <w:spacing w:after="0" w:line="240" w:lineRule="auto"/>
              <w:rPr>
                <w:b/>
                <w:sz w:val="24"/>
                <w:rFonts w:ascii="Times New Roman" w:hAnsi="Times New Roman"/>
              </w:rPr>
            </w:pPr>
          </w:p>
        </w:tc>
      </w:tr>
      <w:tr>
        <w:tc>
          <w:tcPr>
            <w:tcW w:w="4691" w:type="dxa"/>
            <w:shd w:fill="auto"/>
          </w:tcPr>
          <w:p>
            <w:pPr>
              <w:spacing w:after="0" w:line="240" w:lineRule="auto"/>
              <w:rPr>
                <w:sz w:val="24"/>
                <w:rFonts w:ascii="Times New Roman" w:hAnsi="Times New Roman"/>
              </w:rPr>
            </w:pPr>
          </w:p>
        </w:tc>
        <w:tc>
          <w:tcPr>
            <w:tcW w:w="4880" w:type="dxa"/>
            <w:shd w:fill="auto"/>
          </w:tcPr>
          <w:p>
            <w:pPr>
              <w:jc w:val="both"/>
              <w:spacing w:after="0" w:line="240"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shaxsning yashash manzili</w:t>
            </w:r>
            <w:r>
              <w:rPr>
                <w:vanish w:val="false"/>
                <w:sz w:val="24"/>
                <w:rFonts w:ascii="Times New Roman" w:hAnsi="Times New Roman"/>
              </w:rPr>
              <w:fldChar w:fldCharType="end"/>
            </w:r>
            <w:r>
              <w:rPr>
                <w:sz w:val="24"/>
                <w:rFonts w:ascii="Times New Roman" w:hAnsi="Times New Roman"/>
              </w:rPr>
              <w:t xml:space="preserve">da yashovchi</w:t>
            </w:r>
          </w:p>
        </w:tc>
      </w:tr>
      <w:tr>
        <w:tc>
          <w:tcPr>
            <w:tcW w:w="4691" w:type="dxa"/>
            <w:shd w:fill="auto"/>
          </w:tcPr>
          <w:p>
            <w:pPr>
              <w:spacing w:after="0"/>
              <w:rPr>
                <w:sz w:val="24"/>
                <w:rFonts w:ascii="Times New Roman" w:hAnsi="Times New Roman"/>
              </w:rPr>
            </w:pPr>
          </w:p>
        </w:tc>
        <w:tc>
          <w:tcPr>
            <w:tcW w:w="4880" w:type="dxa"/>
            <w:shd w:fill="auto"/>
          </w:tcPr>
          <w:p>
            <w:pPr>
              <w:jc w:val="both"/>
              <w:spacing w:after="0" w:line="240" w:lineRule="auto"/>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Iltimosnoma beruvchi shaxsning F.I.Osi</w:t>
            </w:r>
            <w:r>
              <w:rPr>
                <w:vanish w:val="false"/>
                <w:sz w:val="24"/>
                <w:rFonts w:ascii="Times New Roman" w:hAnsi="Times New Roman"/>
              </w:rPr>
              <w:fldChar w:fldCharType="end"/>
            </w:r>
            <w:r>
              <w:rPr>
                <w:sz w:val="24"/>
                <w:rFonts w:ascii="Times New Roman" w:hAnsi="Times New Roman"/>
              </w:rPr>
              <w:t>dan</w:t>
            </w:r>
          </w:p>
        </w:tc>
      </w:tr>
    </w:tbl>
    <w:p>
      <w:pPr>
        <w:pStyle w:val="a0"/>
        <w:jc w:val="center"/>
        <w:spacing w:before="40" w:after="0" w:line="240" w:lineRule="auto"/>
        <w:rPr>
          <w:b/>
          <w:sz w:val="24"/>
          <w:rFonts w:ascii="Times New Roman" w:hAnsi="Times New Roman"/>
        </w:rPr>
      </w:pPr>
    </w:p>
    <w:p>
      <w:pPr>
        <w:pStyle w:val="a0"/>
        <w:jc w:val="center"/>
        <w:spacing w:before="40" w:after="0"/>
        <w:rPr>
          <w:b/>
          <w:sz w:val="24"/>
          <w:rFonts w:ascii="Times New Roman" w:hAnsi="Times New Roman"/>
        </w:rPr>
      </w:pPr>
      <w:r>
        <w:rPr>
          <w:b/>
          <w:sz w:val="24"/>
          <w:rFonts w:ascii="Times New Roman" w:hAnsi="Times New Roman"/>
        </w:rPr>
        <w:t>ILTIMOSNOMA</w:t>
      </w:r>
    </w:p>
    <w:p>
      <w:pPr>
        <w:pStyle w:val="a0"/>
        <w:jc w:val="center"/>
        <w:ind w:firstLine="900"/>
        <w:spacing w:before="40" w:after="0"/>
        <w:rPr>
          <w:color w:val="000000"/>
          <w:sz w:val="24"/>
          <w:rFonts w:ascii="Times New Roman" w:hAnsi="Times New Roman"/>
        </w:rPr>
      </w:pPr>
      <w:r>
        <w:rPr>
          <w:color w:val="000000"/>
          <w:sz w:val="24"/>
          <w:rFonts w:ascii="Times New Roman" w:hAnsi="Times New Roman"/>
        </w:rPr>
        <w:t xml:space="preserve">Sud qarori ustidan </w:t>
      </w:r>
      <w:r>
        <w:rPr>
          <w:vanish w:val="false"/>
          <w:color w:val="000000"/>
          <w:sz w:val="24"/>
          <w:rFonts w:ascii="Times New Roman" w:hAnsi="Times New Roman"/>
        </w:rPr>
        <w:fldChar w:fldCharType="begin"/>
        <w:instrText xml:space="preserve">X {"Y":15}</w:instrText>
        <w:fldChar w:fldCharType="separate"/>
        <w:t xml:space="preserve">Qaysi turdagi shikoyat berish muddati tiklanishi so‘raladi</w:t>
      </w:r>
      <w:r>
        <w:rPr>
          <w:vanish w:val="false"/>
          <w:color w:val="000000"/>
          <w:sz w:val="24"/>
          <w:rFonts w:ascii="Times New Roman" w:hAnsi="Times New Roman"/>
        </w:rPr>
        <w:fldChar w:fldCharType="end"/>
      </w:r>
      <w:r>
        <w:rPr>
          <w:sz w:val="24"/>
          <w:rFonts w:ascii="Times New Roman" w:hAnsi="Times New Roman"/>
        </w:rPr>
        <w:t xml:space="preserve"> tartibida shikoyat berish muddatini tiklash toʻgʻrisida</w:t>
      </w:r>
    </w:p>
    <w:p>
      <w:pPr>
        <w:pStyle w:val="a0"/>
        <w:jc w:val="center"/>
        <w:ind w:firstLine="900"/>
        <w:spacing w:before="40" w:after="0"/>
        <w:rPr>
          <w:sz w:val="24"/>
          <w:rFonts w:ascii="Times New Roman" w:hAnsi="Times New Roman"/>
        </w:rPr>
      </w:pPr>
    </w:p>
    <w:p>
      <w:pPr>
        <w:pStyle w:val="a0"/>
        <w:jc w:val="both"/>
        <w:ind w:firstLine="684"/>
        <w:spacing w:after="0"/>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{"Y":3}</w:instrText>
        <w:fldChar w:fldCharType="separate"/>
        <w:t xml:space="preserve">Iltimosnoma berilgan fuqarolik sudi nomi</w:t>
      </w:r>
      <w:r>
        <w:rPr>
          <w:vanish w:val="false"/>
          <w:sz w:val="24"/>
          <w:rFonts w:ascii="Times New Roman" w:hAnsi="Times New Roman"/>
        </w:rPr>
        <w:fldChar w:fldCharType="end"/>
      </w:r>
      <w:r>
        <w:rPr>
          <w:sz w:val="24"/>
          <w:rFonts w:ascii="Times New Roman" w:hAnsi="Times New Roman"/>
        </w:rPr>
        <w:t xml:space="preserve"> sudi tomonidan daʼvogar </w:t>
      </w:r>
      <w:r>
        <w:rPr>
          <w:vanish w:val="false"/>
          <w:sz w:val="24"/>
          <w:rFonts w:ascii="Times New Roman" w:hAnsi="Times New Roman"/>
        </w:rPr>
        <w:fldChar w:fldCharType="begin"/>
        <w:instrText xml:space="preserve">X {"Y":9}</w:instrText>
        <w:fldChar w:fldCharType="separate"/>
        <w:t xml:space="preserve">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{"Y":10}</w:instrText>
        <w:fldChar w:fldCharType="separate"/>
        <w:t xml:space="preserve">Ish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{"Y":11}</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toʻgʻrisidagi daʼvo arizasi koʻrib chiqilib, </w:t>
      </w:r>
      <w:r>
        <w:rPr>
          <w:vanish w:val="false"/>
          <w:sz w:val="24"/>
          <w:rFonts w:ascii="Times New Roman" w:hAnsi="Times New Roman"/>
        </w:rPr>
        <w:fldChar w:fldCharType="begin"/>
        <w:instrText xml:space="preserve">X {"Y":12}</w:instrText>
        <w:fldChar w:fldCharType="separate"/>
        <w:t xml:space="preserve">Fuqarolik ishi bo‘yicha qaror qabul qilingan sana</w:t>
      </w:r>
      <w:r>
        <w:rPr>
          <w:vanish w:val="false"/>
          <w:sz w:val="24"/>
          <w:rFonts w:ascii="Times New Roman" w:hAnsi="Times New Roman"/>
        </w:rPr>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{"Y":13}</w:instrText>
        <w:fldChar w:fldCharType="separate"/>
        <w:t xml:space="preserve">Sud tomonidan qabul qilingan qaror mazmuni</w:t>
      </w:r>
      <w:r>
        <w:rPr>
          <w:vanish w:val="false"/>
          <w:sz w:val="24"/>
          <w:rFonts w:ascii="Times New Roman" w:hAnsi="Times New Roman"/>
        </w:rPr>
        <w:fldChar w:fldCharType="end"/>
      </w:r>
      <w:r>
        <w:rPr>
          <w:sz w:val="24"/>
          <w:rFonts w:ascii="Times New Roman" w:hAnsi="Times New Roman"/>
        </w:rPr>
        <w:t xml:space="preserve"> toʻgʻrisida qaror qabul qilingan.</w:t>
      </w:r>
    </w:p>
    <w:p>
      <w:pPr>
        <w:jc w:val="both"/>
        <w:ind w:firstLine="709"/>
        <w:spacing w:after="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4"/>
          <w:rFonts w:ascii="Times New Roman" w:hAnsi="Times New Roman"/>
        </w:rPr>
      </w:pPr>
      <w:r>
        <w:rPr>
          <w:color w:val="000000"/>
          <w:sz w:val="24"/>
          <w:rFonts w:ascii="Times New Roman" w:hAnsi="Times New Roman"/>
        </w:rPr>
        <w:t xml:space="preserve">Men </w:t>
      </w:r>
      <w:r>
        <w:rPr>
          <w:vanish w:val="false"/>
          <w:sz w:val="24"/>
          <w:rFonts w:ascii="Times New Roman" w:hAnsi="Times New Roman"/>
        </w:rPr>
        <w:fldChar w:fldCharType="begin"/>
        <w:instrText xml:space="preserve">X {"Y":14}</w:instrText>
        <w:fldChar w:fldCharType="separate"/>
        <w:t xml:space="preserve">Sud qarori ustidan qonunda belgilangan muddatda shikoyat qilinishiga imkon bermagan uzrli sabablar</w:t>
      </w:r>
      <w:r>
        <w:rPr>
          <w:vanish w:val="false"/>
          <w:sz w:val="24"/>
          <w:rFonts w:ascii="Times New Roman" w:hAnsi="Times New Roman"/>
        </w:rPr>
        <w:fldChar w:fldCharType="end"/>
      </w:r>
      <w:r>
        <w:rPr>
          <w:sz w:val="24"/>
          <w:rFonts w:ascii="Times New Roman" w:hAnsi="Times New Roman"/>
        </w:rPr>
        <w:t xml:space="preserve"> sababli oʻzimga bogʻliq boʻlmagan holda ushbu qaror ustidan </w:t>
      </w:r>
      <w:r>
        <w:rPr>
          <w:vanish w:val="false"/>
          <w:sz w:val="24"/>
          <w:rFonts w:ascii="Times New Roman" w:hAnsi="Times New Roman"/>
        </w:rPr>
        <w:fldChar w:fldCharType="begin"/>
        <w:instrText xml:space="preserve">X {"Y":15}</w:instrText>
        <w:fldChar w:fldCharType="separate"/>
        <w:t xml:space="preserve">Qaysi turdagi shikoyat berish muddati tiklanishi so‘raladi</w:t>
      </w:r>
      <w:r>
        <w:rPr>
          <w:vanish w:val="false"/>
          <w:sz w:val="24"/>
          <w:rFonts w:ascii="Times New Roman" w:hAnsi="Times New Roman"/>
        </w:rPr>
        <w:fldChar w:fldCharType="end"/>
      </w:r>
      <w:r>
        <w:rPr>
          <w:sz w:val="24"/>
          <w:rFonts w:ascii="Times New Roman" w:hAnsi="Times New Roman"/>
        </w:rPr>
        <w:t xml:space="preserve"> tartibida shikoyat berish muddatini oʻtkazib yubordim.</w:t>
      </w:r>
    </w:p>
    <w:p>
      <w:pPr>
        <w:jc w:val="both"/>
        <w:ind w:firstLine="709"/>
        <w:spacing w:after="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4"/>
          <w:rFonts w:ascii="Times New Roman" w:hAnsi="Times New Roman"/>
        </w:rPr>
      </w:pPr>
      <w:r>
        <w:rPr>
          <w:sz w:val="24"/>
          <w:rFonts w:ascii="Times New Roman" w:hAnsi="Times New Roman"/>
        </w:rPr>
        <w:t xml:space="preserve">O‘zbekiston Respublikasi Fuqarolik protsessual kodeksining 155-moddasiga ko‘ra, sud tayinlagan muddatlar sud tomonidan uzaytirilishi mumkin. Ishda ishtirok etuvchi shaxslar qonunda belgilangan muddatni sud uzrli deb topgan sabablarga ko‘ra o‘tkazib yuborgan bo‘lsa, mazkur muddat tiklanadi. O‘tkazib yuborilgan protsessual muddatni tiklash to‘g‘risidagi iltimosnoma protsessual harakat amalga oshirilishi yoki hujjat topshirilishi lozim bo‘lgan sudga beriladi va ishda ishtirok etuvchi shaxslar xabardor qilingan holda sud majlisida ko‘rib chiqiladi. O‘tkazib yuborilgan protsessual muddatni tiklash to‘g‘risidagi iltimosnomani berish bilan bir vaqtda, muddati o‘tkazib yuborilgan harakat bajarilishi yoki hujjat topshirilishi lozim.</w:t>
      </w:r>
    </w:p>
    <w:p>
      <w:pPr>
        <w:jc w:val="both"/>
        <w:ind w:firstLine="709"/>
        <w:spacing w:after="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color w:val="000000"/>
          <w:sz w:val="24"/>
          <w:rFonts w:ascii="Times New Roman" w:hAnsi="Times New Roman"/>
        </w:rPr>
        <w:t xml:space="preserve">Menga oʻz huquqlarimni sud yoʻli bilan himoya qilishim uchun </w:t>
      </w:r>
      <w:r>
        <w:rPr>
          <w:vanish w:val="false"/>
          <w:sz w:val="24"/>
          <w:rFonts w:ascii="Times New Roman" w:hAnsi="Times New Roman"/>
        </w:rPr>
        <w:fldChar w:fldCharType="begin"/>
        <w:instrText xml:space="preserve">X {"Y":15}</w:instrText>
        <w:fldChar w:fldCharType="separate"/>
        <w:t xml:space="preserve">Qaysi turdagi shikoyat berish muddati tiklanishi so‘raladi</w:t>
      </w:r>
      <w:r>
        <w:rPr>
          <w:vanish w:val="false"/>
          <w:sz w:val="24"/>
          <w:rFonts w:ascii="Times New Roman" w:hAnsi="Times New Roman"/>
        </w:rPr>
        <w:fldChar w:fldCharType="end"/>
      </w:r>
      <w:r>
        <w:rPr>
          <w:sz w:val="24"/>
          <w:rFonts w:ascii="Times New Roman" w:hAnsi="Times New Roman"/>
        </w:rPr>
        <w:t xml:space="preserve"> tartibida shikoyat berish muddatini tiklab berishingizni soʻrayman. </w:t>
      </w:r>
      <w:r>
        <w:rPr>
          <w:color w:val="000000"/>
          <w:sz w:val="24"/>
          <w:rFonts w:ascii="Times New Roman" w:hAnsi="Times New Roman"/>
        </w:rPr>
        <w:t xml:space="preserve">Protsessual muddatni tiklashga asos boʻlgan hujjatlar va dalillarni sudga taqdim etaman. </w:t>
      </w:r>
    </w:p>
    <w:p>
      <w:pPr>
        <w:jc w:val="both"/>
        <w:ind w:firstLine="709"/>
        <w:spacing w:after="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color w:val="000000"/>
          <w:sz w:val="24"/>
          <w:rFonts w:ascii="Times New Roman" w:hAnsi="Times New Roman"/>
        </w:rPr>
        <w:t xml:space="preserve">Yuqoridagilardan kelib chiqib, Oʻzbekiston Respublikasi Fuqarolik protsessual kodeksining 151, 153 hamda 155-moddalariga asoslanib,</w:t>
      </w:r>
    </w:p>
    <w:p>
      <w:pPr>
        <w:pStyle w:val="a0"/>
        <w:jc w:val="both"/>
        <w:ind w:firstLine="900"/>
        <w:spacing w:after="0"/>
        <w:rPr>
          <w:sz w:val="24"/>
          <w:rFonts w:ascii="Times New Roman" w:hAnsi="Times New Roman"/>
        </w:rPr>
      </w:pPr>
    </w:p>
    <w:p>
      <w:pPr>
        <w:pStyle w:val="a0"/>
        <w:jc w:val="center"/>
        <w:ind w:hanging="15"/>
        <w:spacing w:after="0"/>
        <w:rPr>
          <w:b/>
          <w:sz w:val="24"/>
          <w:rFonts w:ascii="Times New Roman" w:hAnsi="Times New Roman"/>
        </w:rPr>
      </w:pPr>
      <w:r>
        <w:rPr>
          <w:b/>
          <w:sz w:val="24"/>
          <w:rFonts w:ascii="Times New Roman" w:hAnsi="Times New Roman"/>
        </w:rPr>
        <w:t>SOʻRAYMAN:</w:t>
      </w:r>
    </w:p>
    <w:p>
      <w:pPr>
        <w:pStyle w:val="a0"/>
        <w:jc w:val="both"/>
        <w:ind w:firstLine="900"/>
        <w:spacing w:after="0"/>
        <w:rPr>
          <w:sz w:val="24"/>
          <w:rFonts w:ascii="Times New Roman" w:hAnsi="Times New Roman"/>
        </w:rPr>
      </w:pPr>
    </w:p>
    <w:p>
      <w:pPr>
        <w:jc w:val="both"/>
        <w:ind w:firstLine="684"/>
        <w:spacing w:after="0"/>
        <w:rPr>
          <w:color w:val="000000"/>
          <w:sz w:val="24"/>
          <w:rFonts w:ascii="Times New Roman" w:hAnsi="Times New Roman"/>
        </w:rPr>
      </w:pPr>
      <w:r>
        <w:rPr>
          <w:sz w:val="24"/>
          <w:rFonts w:ascii="Times New Roman" w:hAnsi="Times New Roman"/>
        </w:rPr>
        <w:t xml:space="preserve">Qaror ustidan </w:t>
      </w:r>
      <w:r>
        <w:rPr>
          <w:vanish w:val="false"/>
          <w:sz w:val="24"/>
          <w:rFonts w:ascii="Times New Roman" w:hAnsi="Times New Roman"/>
        </w:rPr>
        <w:fldChar w:fldCharType="begin"/>
        <w:instrText xml:space="preserve">X {"Y":15}</w:instrText>
        <w:fldChar w:fldCharType="separate"/>
        <w:t xml:space="preserve">Qaysi turdagi shikoyat berish muddati tiklanishi so‘raladi</w:t>
      </w:r>
      <w:r>
        <w:rPr>
          <w:vanish w:val="false"/>
          <w:sz w:val="24"/>
          <w:rFonts w:ascii="Times New Roman" w:hAnsi="Times New Roman"/>
        </w:rPr>
        <w:fldChar w:fldCharType="end"/>
      </w:r>
      <w:r>
        <w:rPr>
          <w:sz w:val="24"/>
          <w:rFonts w:ascii="Times New Roman" w:hAnsi="Times New Roman"/>
        </w:rPr>
        <w:t xml:space="preserve"> tartibida shikoyat berish muddatini tiklab berishingizni.</w:t>
      </w:r>
    </w:p>
    <w:p>
      <w:pPr>
        <w:pStyle w:val="a0"/>
        <w:jc w:val="both"/>
        <w:ind w:firstLine="900"/>
        <w:spacing w:before="40" w:after="0" w:line="240" w:lineRule="auto"/>
        <w:rPr>
          <w:b/>
          <w:sz w:val="24"/>
          <w:rFonts w:ascii="Times New Roman" w:hAnsi="Times New Roman"/>
        </w:rPr>
      </w:pPr>
    </w:p>
    <w:p>
      <w:pPr>
        <w:pStyle w:val="a0"/>
        <w:jc w:val="both"/>
        <w:ind w:firstLine="684"/>
        <w:spacing w:before="40" w:after="0" w:line="240" w:lineRule="auto"/>
        <w:rPr>
          <w:b/>
          <w:sz w:val="24"/>
          <w:rFonts w:ascii="Times New Roman" w:hAnsi="Times New Roman"/>
        </w:rPr>
      </w:pPr>
      <w:r>
        <w:rPr>
          <w:b w:val="false"/>
          <w:sz w:val="24"/>
          <w:rFonts w:ascii="Times New Roman" w:hAnsi="Times New Roman"/>
        </w:rPr>
        <w:t xml:space="preserve">Iltimosnomaga ilova qilinayotgan hujjatlar:</w:t>
      </w:r>
    </w:p>
    <w:p>
      <w:pPr>
        <w:pStyle w:val="a0"/>
        <w:jc w:val="both"/>
        <w:ind w:firstLine="684"/>
        <w:spacing w:before="40" w:after="0" w:line="240" w:lineRule="auto"/>
        <w:rPr>
          <w:b/>
          <w:sz w:val="24"/>
          <w:rFonts w:ascii="Times New Roman" w:hAnsi="Times New Roman"/>
        </w:rPr>
      </w:pPr>
      <w:r>
        <w:rPr>
          <w:color w:val="000000"/>
          <w:sz w:val="24"/>
          <w:rFonts w:ascii="Times New Roman" w:hAnsi="Times New Roman"/>
        </w:rPr>
        <w:t xml:space="preserve">1. Ariza nusxasi.</w:t>
      </w:r>
    </w:p>
    <w:p>
      <w:pPr>
        <w:pStyle w:val="a0"/>
        <w:jc w:val="both"/>
        <w:ind w:firstLine="684"/>
        <w:spacing w:before="40" w:after="0" w:line="240" w:lineRule="auto"/>
        <w:rPr>
          <w:b/>
          <w:sz w:val="24"/>
          <w:rFonts w:ascii="Times New Roman" w:hAnsi="Times New Roman"/>
        </w:rPr>
      </w:pPr>
      <w:r>
        <w:rPr>
          <w:color w:val="000000"/>
          <w:sz w:val="24"/>
          <w:rFonts w:ascii="Times New Roman" w:hAnsi="Times New Roman"/>
        </w:rPr>
        <w:t xml:space="preserve">2. Muddatni oʻtkazib yuborganligim uzrli ekanligini tasdiqlovchi hujjatlar </w:t>
      </w:r>
    </w:p>
    <w:p>
      <w:pPr>
        <w:jc w:val="both"/>
        <w:spacing w:after="0"/>
        <w:rPr>
          <w:color w:val="000000"/>
          <w:sz w:val="24"/>
          <w:rFonts w:ascii="Times New Roman" w:hAnsi="Times New Roman"/>
        </w:rPr>
      </w:pPr>
    </w:p>
    <w:p>
      <w:pPr>
        <w:pStyle w:val="a0"/>
        <w:jc w:val="both"/>
        <w:spacing w:before="40" w:after="0" w:line="240" w:lineRule="auto"/>
        <w:rPr>
          <w:sz w:val="24"/>
          <w:rFonts w:ascii="Times New Roman" w:hAnsi="Times New Roman"/>
        </w:rPr>
      </w:pPr>
    </w:p>
    <w:tbl>
      <w:tblPr>
        <w:tblW w:w="0" w:type="auto"/>
      </w:tblPr>
      <w:tblGrid>
        <w:gridCol w:w="3190"/>
        <w:gridCol w:w="3190"/>
        <w:gridCol w:w="3191"/>
      </w:tblGrid>
      <w:tr>
        <w:tc>
          <w:tcPr>
            <w:tcW w:w="3190" w:type="dxa"/>
            <w:shd w:fill="auto"/>
          </w:tcPr>
          <w:p>
            <w:pPr>
              <w:pStyle w:val="a0"/>
              <w:jc w:val="both"/>
              <w:spacing w:before="40"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Iltimosnoma beruvchi shaxsning F.I.Osi</w:t>
            </w:r>
            <w:r>
              <w:rPr>
                <w:vanish w:val="false"/>
                <w:sz w:val="24"/>
                <w:rFonts w:ascii="Times New Roman" w:hAnsi="Times New Roman"/>
              </w:rPr>
              <w:fldChar w:fldCharType="end"/>
            </w:r>
          </w:p>
          <w:p>
            <w:pPr>
              <w:pStyle w:val="a0"/>
              <w:jc w:val="both"/>
              <w:spacing w:before="40" w:after="0"/>
              <w:rPr>
                <w:sz w:val="24"/>
                <w:rFonts w:ascii="Times New Roman" w:hAnsi="Times New Roman"/>
              </w:rPr>
            </w:pPr>
          </w:p>
        </w:tc>
        <w:tc>
          <w:tcPr>
            <w:tcW w:w="3190" w:type="dxa"/>
            <w:shd w:fill="auto"/>
          </w:tcPr>
          <w:p>
            <w:pPr>
              <w:pStyle w:val="a0"/>
              <w:spacing w:before="40" w:after="0"/>
              <w:pBdr>
                <w:bottom w:sz="12" w:space="1" w:color="auto" w:val="single"/>
              </w:pBdr>
              <w:rPr>
                <w:sz w:val="24"/>
                <w:rFonts w:ascii="Times New Roman" w:hAnsi="Times New Roman"/>
              </w:rPr>
            </w:pPr>
          </w:p>
          <w:p>
            <w:pPr>
              <w:pStyle w:val="a0"/>
              <w:jc w:val="center"/>
              <w:spacing w:before="40" w:after="0"/>
              <w:rPr>
                <w:sz w:val="24"/>
                <w:rFonts w:ascii="Times New Roman" w:hAnsi="Times New Roman"/>
              </w:rPr>
            </w:pPr>
            <w:r>
              <w:rPr>
                <w:sz w:val="24"/>
                <w:rFonts w:ascii="Times New Roman" w:hAnsi="Times New Roman"/>
              </w:rPr>
              <w:t>imzo</w:t>
            </w:r>
          </w:p>
        </w:tc>
        <w:tc>
          <w:tcPr>
            <w:tcW w:w="3191" w:type="dxa"/>
            <w:shd w:fill="auto"/>
          </w:tcPr>
          <w:p>
            <w:pPr>
              <w:pStyle w:val="a0"/>
              <w:jc w:val="right"/>
              <w:spacing w:before="40" w:after="0"/>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Iltimosnoma berilgan sana</w:t>
            </w:r>
            <w:r>
              <w:rPr>
                <w:vanish w:val="false"/>
                <w:sz w:val="24"/>
                <w:rFonts w:ascii="Times New Roman" w:hAnsi="Times New Roman"/>
              </w:rPr>
              <w:fldChar w:fldCharType="end"/>
            </w:r>
            <w:r>
              <w:rPr>
                <w:sz w:val="24"/>
                <w:rFonts w:ascii="Times New Roman" w:hAnsi="Times New Roman"/>
              </w:rPr>
              <w:t xml:space="preserve"> </w:t>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pStyle w:val="af0"/>
        <w:jc w:val="both"/>
        <w:ind w:left="114"/>
        <w:spacing w:after="0"/>
        <w:rPr>
          <w:i/>
          <w:color w:val="000000"/>
          <w:sz w:val="24"/>
          <w:rFonts w:ascii="Times New Roman" w:hAnsi="Times New Roman"/>
        </w:rPr>
      </w:pPr>
      <w:r>
        <w:rPr>
          <w:i/>
          <w:sz w:val="24"/>
          <w:rFonts w:ascii="Times New Roman" w:hAnsi="Times New Roman"/>
        </w:rPr>
        <w:t xml:space="preserve">Izoh: FPKning 155-moddasiga koʻra, oʻ</w:t>
      </w:r>
      <w:r>
        <w:rPr>
          <w:i/>
          <w:color w:val="000000"/>
          <w:sz w:val="24"/>
          <w:rFonts w:ascii="Times New Roman" w:hAnsi="Times New Roman"/>
        </w:rPr>
        <w:t xml:space="preserve">tkazib yuborilgan protsessual muddatni tiklash toʻgʻrisidagi iltimosnomani berish bilan bir vaqtda, muddati oʻtkazib yuborilgan harakat bajarilishi yoki hujjat topshirilishi lozim. Ushbu holatda iltimosnoma bilan birga apellyatsiya yoki kassatsiya shikoyati ham sudga taqdim etilishi lozim.</w:t>
      </w:r>
    </w:p>
    <w:sectPr>
      <w:pgSz w:w="11906" w:h="16838"/>
      <w:pgMar w:left="1701" w:right="567" w:top="567" w:bottom="567"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4B1" w:rsidRDefault="00D864B1">
      <w:pPr>
        <w:spacing w:after="0" w:line="240" w:lineRule="auto"/>
      </w:pPr>
      <w:r>
        <w:separator/>
      </w:r>
    </w:p>
  </w:endnote>
  <w:endnote w:type="continuationSeparator" w:id="0">
    <w:p w:rsidR="00D864B1" w:rsidRDefault="00D86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4B1" w:rsidRDefault="00D864B1">
      <w:pPr>
        <w:spacing w:after="0" w:line="240" w:lineRule="auto"/>
      </w:pPr>
      <w:r>
        <w:separator/>
      </w:r>
    </w:p>
  </w:footnote>
  <w:footnote w:type="continuationSeparator" w:id="0">
    <w:p w:rsidR="00D864B1" w:rsidRDefault="00D86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1408D"/>
    <w:rsid w:val="00031419"/>
    <w:rsid w:val="0003159B"/>
    <w:rsid w:val="000427CB"/>
    <w:rsid w:val="000C03E1"/>
    <w:rsid w:val="000E42C8"/>
    <w:rsid w:val="0014374B"/>
    <w:rsid w:val="001666E2"/>
    <w:rsid w:val="001751A4"/>
    <w:rsid w:val="00182A71"/>
    <w:rsid w:val="00183792"/>
    <w:rsid w:val="001941B9"/>
    <w:rsid w:val="00197522"/>
    <w:rsid w:val="001B13BF"/>
    <w:rsid w:val="001B490F"/>
    <w:rsid w:val="001C668B"/>
    <w:rsid w:val="001D2E5D"/>
    <w:rsid w:val="00237B4D"/>
    <w:rsid w:val="002609D9"/>
    <w:rsid w:val="00262F46"/>
    <w:rsid w:val="00295B17"/>
    <w:rsid w:val="002A2844"/>
    <w:rsid w:val="002D3093"/>
    <w:rsid w:val="00340C52"/>
    <w:rsid w:val="00383377"/>
    <w:rsid w:val="003B454B"/>
    <w:rsid w:val="003E2C3D"/>
    <w:rsid w:val="003E6E93"/>
    <w:rsid w:val="00400F63"/>
    <w:rsid w:val="0041779E"/>
    <w:rsid w:val="004432F8"/>
    <w:rsid w:val="00452B9B"/>
    <w:rsid w:val="0045530A"/>
    <w:rsid w:val="004A11ED"/>
    <w:rsid w:val="004B75D1"/>
    <w:rsid w:val="004D405A"/>
    <w:rsid w:val="004E592E"/>
    <w:rsid w:val="004E6CCC"/>
    <w:rsid w:val="004F6077"/>
    <w:rsid w:val="00513CB6"/>
    <w:rsid w:val="00514EBD"/>
    <w:rsid w:val="00547E3C"/>
    <w:rsid w:val="0057083B"/>
    <w:rsid w:val="00573D5F"/>
    <w:rsid w:val="005869B3"/>
    <w:rsid w:val="005A5CF1"/>
    <w:rsid w:val="005E3F76"/>
    <w:rsid w:val="005F1BA1"/>
    <w:rsid w:val="005F43DE"/>
    <w:rsid w:val="00601A7C"/>
    <w:rsid w:val="006428DD"/>
    <w:rsid w:val="00650AED"/>
    <w:rsid w:val="006576BC"/>
    <w:rsid w:val="00680D9A"/>
    <w:rsid w:val="006A51E1"/>
    <w:rsid w:val="006F3F19"/>
    <w:rsid w:val="00715654"/>
    <w:rsid w:val="00740520"/>
    <w:rsid w:val="00743E92"/>
    <w:rsid w:val="00764FC5"/>
    <w:rsid w:val="007967AA"/>
    <w:rsid w:val="007A0FB6"/>
    <w:rsid w:val="007F438A"/>
    <w:rsid w:val="0087799D"/>
    <w:rsid w:val="00885B2A"/>
    <w:rsid w:val="008865FF"/>
    <w:rsid w:val="008E01C9"/>
    <w:rsid w:val="008F51D1"/>
    <w:rsid w:val="008F64A4"/>
    <w:rsid w:val="00917DF9"/>
    <w:rsid w:val="0092517F"/>
    <w:rsid w:val="00935D52"/>
    <w:rsid w:val="00970024"/>
    <w:rsid w:val="00A10772"/>
    <w:rsid w:val="00A20AE6"/>
    <w:rsid w:val="00B00F31"/>
    <w:rsid w:val="00B01ED2"/>
    <w:rsid w:val="00B06303"/>
    <w:rsid w:val="00B11900"/>
    <w:rsid w:val="00B258C3"/>
    <w:rsid w:val="00BC2786"/>
    <w:rsid w:val="00BC78ED"/>
    <w:rsid w:val="00BE5B4B"/>
    <w:rsid w:val="00C003F2"/>
    <w:rsid w:val="00C07367"/>
    <w:rsid w:val="00C13409"/>
    <w:rsid w:val="00C17D7C"/>
    <w:rsid w:val="00C85601"/>
    <w:rsid w:val="00CA0B28"/>
    <w:rsid w:val="00CA5146"/>
    <w:rsid w:val="00CC1775"/>
    <w:rsid w:val="00CC1796"/>
    <w:rsid w:val="00CF42B8"/>
    <w:rsid w:val="00CF4943"/>
    <w:rsid w:val="00D0426E"/>
    <w:rsid w:val="00D05289"/>
    <w:rsid w:val="00D57CFB"/>
    <w:rsid w:val="00D733D2"/>
    <w:rsid w:val="00D73A65"/>
    <w:rsid w:val="00D864B1"/>
    <w:rsid w:val="00DA5049"/>
    <w:rsid w:val="00DB3363"/>
    <w:rsid w:val="00E24493"/>
    <w:rsid w:val="00E274A6"/>
    <w:rsid w:val="00E27B62"/>
    <w:rsid w:val="00E42056"/>
    <w:rsid w:val="00E71661"/>
    <w:rsid w:val="00E7676C"/>
    <w:rsid w:val="00E91A60"/>
    <w:rsid w:val="00EE5824"/>
    <w:rsid w:val="00F0708F"/>
    <w:rsid w:val="00F452C6"/>
    <w:rsid w:val="00FA007E"/>
    <w:rsid w:val="00FD6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910AC87-5121-4840-B51F-3D77E025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917DF9"/>
    <w:rPr>
      <w:rFonts w:ascii="Calibri" w:eastAsia="Calibri" w:hAnsi="Calibri"/>
      <w:sz w:val="22"/>
      <w:szCs w:val="22"/>
      <w:lang w:eastAsia="zh-CN"/>
    </w:rPr>
  </w:style>
  <w:style w:type="paragraph" w:styleId="af0">
    <w:name w:val="List Paragraph"/>
    <w:basedOn w:val="a"/>
    <w:uiPriority w:val="34"/>
    <w:qFormat/>
    <w:rsid w:val="00917DF9"/>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2686">
      <w:bodyDiv w:val="1"/>
      <w:marLeft w:val="0"/>
      <w:marRight w:val="0"/>
      <w:marTop w:val="0"/>
      <w:marBottom w:val="0"/>
      <w:divBdr>
        <w:top w:val="none" w:sz="0" w:space="0" w:color="auto"/>
        <w:left w:val="none" w:sz="0" w:space="0" w:color="auto"/>
        <w:bottom w:val="none" w:sz="0" w:space="0" w:color="auto"/>
        <w:right w:val="none" w:sz="0" w:space="0" w:color="auto"/>
      </w:divBdr>
    </w:div>
    <w:div w:id="1451701673">
      <w:bodyDiv w:val="1"/>
      <w:marLeft w:val="0"/>
      <w:marRight w:val="0"/>
      <w:marTop w:val="0"/>
      <w:marBottom w:val="0"/>
      <w:divBdr>
        <w:top w:val="none" w:sz="0" w:space="0" w:color="auto"/>
        <w:left w:val="none" w:sz="0" w:space="0" w:color="auto"/>
        <w:bottom w:val="none" w:sz="0" w:space="0" w:color="auto"/>
        <w:right w:val="none" w:sz="0" w:space="0" w:color="auto"/>
      </w:divBdr>
    </w:div>
    <w:div w:id="157299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AE553-4BB8-464C-8A31-AB2D57C0F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2219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2022-08-29T07:23:00Z</dcterms:created>
  <dcterms:modified xsi:type="dcterms:W3CDTF">2022-08-29T07:23:00Z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3" w:kind="variable" w:selector="check" w:type="string" w:valueMode="normal" w:required="false" w:groupID="1">
    <w:identifier xml:space="preserve">ID3</w:identifier>
    <w:name xml:space="preserve">Iltimosnoma berilgan fuqarolik sudi nomi</w:name>
    <w:value w:hidden="false">
      <w:unit w:active="false"/>
      <w:binding w:dataSource="1" w:column="court_name" w:search="false"/>
    </w:value>
  </w:element>
  <w:element w:id="4" w:kind="variable" w:selector="check" w:type="date" w:valueMode="normal" w:required="false" w:groupID="1">
    <w:identifier xml:space="preserve">ID4</w:identifier>
    <w:name xml:space="preserve">Iltimosnoma berilgan sana</w:name>
    <w:comment xml:space="preserve">(kun, oy, yil)</w:comment>
    <w:value w:hidden="false">
      <w:unit w:active="false"/>
    </w:value>
  </w:element>
  <w:element w:id="5" w:kind="category" w:selector="check" w:type="string" w:valueMode="normal" w:required="false">
    <w:identifier xml:space="preserve">ID5</w:identifier>
    <w:name xml:space="preserve">Iltimosnoma beruvchi</w:name>
    <w:value w:hidden="true">
      <w:unit w:active="false"/>
    </w:value>
  </w:element>
  <w:element w:id="6" w:kind="variable" w:selector="check" w:type="string" w:valueMode="normal" w:required="false" w:groupID="5">
    <w:identifier xml:space="preserve">ID6</w:identifier>
    <w:name xml:space="preserve">Iltimosnoma beruvchi shaxsning yashash manzili</w:name>
    <w:value w:hidden="false">
      <w:unit w:active="false"/>
    </w:value>
  </w:element>
  <w:element w:id="7" w:kind="variable" w:selector="check" w:type="string" w:valueMode="normal" w:required="false" w:groupID="5">
    <w:identifier xml:space="preserve">ID7</w:identifier>
    <w:name xml:space="preserve">Iltimosnoma beruvchi shaxsning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daʼvogarning F.I.Osi</w:name>
    <w:value w:hidden="false">
      <w:unit w:active="false"/>
    </w:value>
  </w:element>
  <w:element w:id="10" w:kind="variable" w:selector="check" w:type="string" w:valueMode="normal" w:required="false" w:groupID="8">
    <w:identifier xml:space="preserve">ID10</w:identifier>
    <w:name xml:space="preserve">Ish bo‘yicha javobgarning F.I.Osi</w:name>
    <w:value w:hidden="false">
      <w:unit w:active="false"/>
    </w:value>
  </w:element>
  <w:element w:id="11" w:kind="variable" w:selector="check" w:type="string" w:valueMode="normal" w:required="false" w:groupID="8">
    <w:identifier xml:space="preserve">ID11</w:identifier>
    <w:name xml:space="preserve">Daʼvo ariza mazmuni</w:name>
    <w:value w:hidden="false">
      <w:unit w:active="false"/>
    </w:value>
  </w:element>
  <w:element w:id="12" w:kind="variable" w:selector="check" w:type="string" w:valueMode="normal" w:required="false" w:groupID="8">
    <w:identifier xml:space="preserve">ID12</w:identifier>
    <w:name xml:space="preserve">Fuqarolik ishi bo‘yicha qaror qabul qilingan sana</w:name>
    <w:value w:hidden="false">
      <w:unit w:active="false"/>
    </w:value>
  </w:element>
  <w:element w:id="13" w:kind="variable" w:selector="check" w:type="string" w:valueMode="normal" w:required="false" w:groupID="8">
    <w:identifier xml:space="preserve">ID13</w:identifier>
    <w:name xml:space="preserve">Sud tomonidan qabul qilingan qaror mazmuni</w:name>
    <w:value w:hidden="false">
      <w:unit w:active="false"/>
    </w:value>
  </w:element>
  <w:element w:id="14" w:kind="variable" w:selector="check" w:type="string" w:valueMode="normal" w:required="false" w:groupID="8">
    <w:identifier xml:space="preserve">ID14</w:identifier>
    <w:name xml:space="preserve">Sud qarori ustidan qonunda belgilangan muddatda shikoyat qilinishiga imkon bermagan uzrli sabablar</w:name>
    <w:comment xml:space="preserve">Masalan: sud qarori qabul qilinganligidan kech xabar topganligi, qaror nusxasi berilmaganligi (kech berilganligi) yoki boshqalar</w:comment>
    <w:value w:hidden="false">
      <w:unit w:active="false"/>
    </w:value>
  </w:element>
  <w:element w:id="15" w:kind="variable" w:selector="check" w:type="string" w:valueMode="normal" w:required="false" w:groupID="8">
    <w:identifier xml:space="preserve">ID15</w:identifier>
    <w:name xml:space="preserve">Qaysi turdagi shikoyat berish muddati tiklanishi so‘raladi</w:name>
    <w:comment xml:space="preserve">Masalan: Apellyatsiya yoki kassatsiya muddati tiklanishi</w:comment>
    <w:value w:hidden="false">
      <w:unit w:active="false"/>
    </w:value>
  </w:element>
</w:structure>
</file>