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6"/>
          <w:rFonts w:ascii="Times New Roman" w:hAnsi="Times New Roman"/>
        </w:rPr>
      </w:pPr>
    </w:p>
    <w:tbl>
      <w:tblPr>
        <w:tblW w:w="0" w:type="auto"/>
      </w:tblPr>
      <w:tblGrid>
        <w:gridCol w:w="4811"/>
        <w:gridCol w:w="4827"/>
      </w:tblGrid>
      <w:tr>
        <w:tc>
          <w:tcPr>
            <w:tcW w:w="4691" w:type="dxa"/>
            <w:hideMark/>
          </w:tcPr>
          <w:p>
            <w:pPr>
              <w:spacing w:after="0"/>
              <w:rPr>
                <w:sz w:val="24"/>
                <w:rFonts w:ascii="Times New Roman" w:hAnsi="Times New Roman"/>
              </w:rPr>
            </w:pPr>
          </w:p>
        </w:tc>
        <w:tc>
          <w:tcPr>
            <w:tcW w:w="4880" w:type="dxa"/>
          </w:tcPr>
          <w:p>
            <w:pPr>
              <w:jc w:val="both"/>
              <w:spacing w:after="0" w:line="240" w:lineRule="auto"/>
              <w:rPr>
                <w:b/>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Ariza berilgan fuqarolik sudi nomi</w:t>
            </w:r>
            <w:r>
              <w:rPr>
                <w:b/>
                <w:vanish w:val="false"/>
                <w:sz w:val="24"/>
                <w:rFonts w:ascii="Times New Roman" w:hAnsi="Times New Roman"/>
              </w:rPr>
              <w:fldChar w:fldCharType="end"/>
            </w:r>
            <w:r>
              <w:rPr>
                <w:b/>
                <w:sz w:val="24"/>
                <w:rFonts w:ascii="Times New Roman" w:hAnsi="Times New Roman"/>
              </w:rPr>
              <w:t>ga</w:t>
            </w:r>
          </w:p>
          <w:p>
            <w:pPr>
              <w:jc w:val="both"/>
              <w:spacing w:after="0" w:line="240" w:lineRule="auto"/>
              <w:rPr>
                <w:b/>
                <w:sz w:val="24"/>
                <w:rFonts w:ascii="Times New Roman" w:hAnsi="Times New Roman"/>
              </w:rPr>
            </w:pPr>
          </w:p>
          <w:p>
            <w:pPr>
              <w:jc w:val="both"/>
              <w:spacing w:after="0" w:line="240" w:lineRule="auto"/>
              <w:rPr>
                <w:b/>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Ariza beruvchi shaxsning yashash manzili</w:t>
            </w:r>
            <w:r>
              <w:rPr>
                <w:vanish w:val="false"/>
                <w:sz w:val="24"/>
                <w:rFonts w:ascii="Times New Roman" w:hAnsi="Times New Roman"/>
              </w:rPr>
              <w:fldChar w:fldCharType="end"/>
            </w:r>
            <w:r>
              <w:rPr>
                <w:sz w:val="24"/>
              </w:rPr>
              <w:t xml:space="preserve">da yashovchi</w:t>
            </w:r>
          </w:p>
          <w:p>
            <w:r>
              <w:rPr>
                <w:vanish w:val="false"/>
                <w:sz w:val="24"/>
                <w:rFonts w:ascii="Times New Roman" w:hAnsi="Times New Roman"/>
              </w:rPr>
              <w:fldChar w:fldCharType="begin"/>
              <w:instrText xml:space="preserve">X {"Y":6}</w:instrText>
              <w:fldChar w:fldCharType="separate"/>
              <w:t xml:space="preserve">Ariza beruvchi shaxsning F.I.Osi</w:t>
            </w:r>
            <w:r>
              <w:rPr>
                <w:vanish w:val="false"/>
                <w:sz w:val="24"/>
                <w:rFonts w:ascii="Times New Roman" w:hAnsi="Times New Roman"/>
              </w:rPr>
              <w:fldChar w:fldCharType="end"/>
            </w:r>
            <w:r>
              <w:rPr>
                <w:sz w:val="24"/>
              </w:rPr>
              <w:t>dan</w:t>
            </w:r>
          </w:p>
        </w:tc>
      </w:tr>
      <w:tr>
        <w:trPr>
          <w:gridAfter w:val="1"/>
        </w:trPr>
        <w:tc>
          <w:tcPr>
            <w:tcW w:w="4880" w:type="dxa"/>
            <w:hideMark/>
          </w:tcPr>
          <w:p>
            <w:pPr>
              <w:spacing w:after="0"/>
              <w:rPr>
                <w:sz w:val="24"/>
                <w:rFonts w:ascii="Times New Roman" w:hAnsi="Times New Roman"/>
              </w:rPr>
            </w:pPr>
          </w:p>
        </w:tc>
      </w:tr>
      <w:tr>
        <w:trPr>
          <w:gridAfter w:val="1"/>
        </w:trPr>
        <w:tc>
          <w:tcPr>
            <w:tcW w:w="4880" w:type="dxa"/>
            <w:hideMark/>
          </w:tcPr>
          <w:p>
            <w:pPr>
              <w:spacing w:after="0"/>
              <w:rPr>
                <w:sz w:val="24"/>
                <w:rFonts w:ascii="Times New Roman" w:hAnsi="Times New Roman"/>
              </w:rPr>
            </w:pPr>
          </w:p>
        </w:tc>
      </w:tr>
    </w:tbl>
    <w:p>
      <w:pPr>
        <w:pStyle w:val="a0"/>
        <w:jc w:val="center"/>
        <w:spacing w:before="40" w:after="0" w:line="240" w:lineRule="auto"/>
        <w:rPr>
          <w:b/>
          <w:sz w:val="24"/>
          <w:rFonts w:ascii="Times New Roman" w:hAnsi="Times New Roman"/>
        </w:rPr>
      </w:pPr>
      <w:r>
        <w:rPr>
          <w:sz w:val="24"/>
          <w:rFonts w:ascii="Times New Roman" w:hAnsi="Times New Roman"/>
        </w:rPr>
        <w:t xml:space="preserve">A R I Z A</w:t>
      </w:r>
    </w:p>
    <w:p>
      <w:pPr>
        <w:jc w:val="center"/>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4"/>
          <w:rFonts w:ascii="Times New Roman" w:hAnsi="Times New Roman"/>
        </w:rPr>
      </w:pPr>
      <w:r>
        <w:rPr>
          <w:color w:val="000000"/>
          <w:sz w:val="24"/>
          <w:rFonts w:ascii="Times New Roman" w:hAnsi="Times New Roman"/>
        </w:rPr>
        <w:t xml:space="preserve">(daʼvoni taʼminlash choralarini koʻrish toʻgʻrisida)</w:t>
      </w:r>
    </w:p>
    <w:p>
      <w:pPr>
        <w:pStyle w:val="a0"/>
        <w:jc w:val="center"/>
        <w:ind w:firstLine="900"/>
        <w:spacing w:before="40" w:after="0"/>
        <w:rPr>
          <w:sz w:val="24"/>
          <w:rFonts w:ascii="Times New Roman" w:hAnsi="Times New Roman"/>
        </w:rPr>
      </w:pPr>
    </w:p>
    <w:p>
      <w:pPr>
        <w:jc w:val="both"/>
        <w:ind w:firstLine="684"/>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4"/>
          <w:rFonts w:ascii="Times New Roman" w:hAnsi="Times New Roman"/>
        </w:rPr>
      </w:pPr>
      <w:r>
        <w:rPr>
          <w:color w:val="000000"/>
          <w:sz w:val="24"/>
          <w:rFonts w:ascii="Times New Roman" w:hAnsi="Times New Roman"/>
        </w:rPr>
        <w:t xml:space="preserve">Fuqarolik ishlari boʻyicha </w:t>
      </w:r>
      <w:r>
        <w:rPr>
          <w:vanish w:val="false"/>
          <w:sz w:val="24"/>
          <w:rFonts w:ascii="Times New Roman" w:hAnsi="Times New Roman"/>
        </w:rPr>
        <w:fldChar w:fldCharType="begin"/>
        <w:instrText xml:space="preserve">X {"Y":2}</w:instrText>
        <w:fldChar w:fldCharType="separate"/>
        <w:t xml:space="preserve">Ariza berilgan fuqarolik sudi nomi</w:t>
      </w:r>
      <w:r>
        <w:rPr>
          <w:vanish w:val="false"/>
          <w:sz w:val="24"/>
          <w:rFonts w:ascii="Times New Roman" w:hAnsi="Times New Roman"/>
        </w:rPr>
        <w:fldChar w:fldCharType="end"/>
      </w:r>
      <w:r>
        <w:rPr>
          <w:sz w:val="24"/>
          <w:rFonts w:ascii="Times New Roman" w:hAnsi="Times New Roman"/>
        </w:rPr>
        <w:t xml:space="preserve"> sudining ish yurituvida mening javobgar </w:t>
      </w:r>
      <w:r>
        <w:rPr>
          <w:vanish w:val="false"/>
          <w:sz w:val="24"/>
          <w:rFonts w:ascii="Times New Roman" w:hAnsi="Times New Roman"/>
        </w:rPr>
        <w:fldChar w:fldCharType="begin"/>
        <w:instrText xml:space="preserve">X {"Y":8}</w:instrText>
        <w:fldChar w:fldCharType="separate"/>
        <w:t xml:space="preserve">Ish bo‘yicha javobgar tashkilotning tashkiliy huquqiy shakli va nomi</w:t>
      </w:r>
      <w:r>
        <w:rPr>
          <w:vanish w:val="false"/>
          <w:sz w:val="24"/>
          <w:rFonts w:ascii="Times New Roman" w:hAnsi="Times New Roman"/>
        </w:rPr>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{"Y":9}</w:instrText>
        <w:fldChar w:fldCharType="separate"/>
        <w:t xml:space="preserve">Daʼvo ariza mazmuni</w:t>
      </w:r>
      <w:r>
        <w:rPr>
          <w:vanish w:val="false"/>
          <w:sz w:val="24"/>
          <w:rFonts w:ascii="Times New Roman" w:hAnsi="Times New Roman"/>
        </w:rPr>
        <w:fldChar w:fldCharType="end"/>
      </w:r>
      <w:r>
        <w:rPr>
          <w:sz w:val="24"/>
          <w:rFonts w:ascii="Times New Roman" w:hAnsi="Times New Roman"/>
        </w:rPr>
        <w:t xml:space="preserve"> haqidagi daʼvo arizam yuzasidan yuritilgan fuqarolik ishi mavjud. </w:t>
      </w:r>
    </w:p>
    <w:p>
      <w:pPr>
        <w:jc w:val="both"/>
        <w:ind w:firstLine="684"/>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4"/>
          <w:rFonts w:ascii="Times New Roman" w:hAnsi="Times New Roman"/>
        </w:rPr>
      </w:pPr>
      <w:r>
        <w:rPr>
          <w:color w:val="000000"/>
          <w:sz w:val="24"/>
          <w:rFonts w:ascii="Times New Roman" w:hAnsi="Times New Roman"/>
        </w:rPr>
        <w:t xml:space="preserve">Oʻzbekiston Respublikasi FPKning 106-moddasida sud </w:t>
      </w:r>
      <w:r>
        <w:rPr>
          <w:sz w:val="24"/>
          <w:rFonts w:ascii="Times New Roman" w:hAnsi="Times New Roman"/>
        </w:rPr>
        <w:t xml:space="preserve">javobgarga tegishli boʻlgan va uning oʻzida yoki boshqa shaxsda turgan mol-mulkni yoxud pul mablagʻlarini xatlashi, javobgarning muayyan harakatlarni amalga oshirishini taqiqlashi, boshqa shaxslarning javobgarga mol-mulk berishini yoki unga nisbatan boshqa majburiyatlarni bajarishini taqiqlashi, mol-mulkni xatlashdan chiqarish toʻgʻrisida daʼvo qoʻzgʻatilgan taqdirda, uni realizatsiya qilishni toʻxtatishi, qarzdor ijro hujjati yuzasidan sud tartibida nizolashayotgan boʻlsa va agar bunday nizolashishga qonunchilikda yoʻl qoʻyilsa, bu hujjat boʻyicha undiruvni toʻxtatishi, nizoli mol-mulk buzilishi, holati yomonlashishining oldini olish maqsadida javobgarga muayyan harakatlarni amalga oshirish majburiyatini yuklatishi, nizoli mol-mulkni saqlash uchun uchinchi shaxsga (saqlovchiga) berishi va zarur hollarda daʼvoni taʼminlash boʻyicha boshqa choralarni koʻrishi belgilangan. </w:t>
      </w:r>
    </w:p>
    <w:p>
      <w:pPr>
        <w:jc w:val="both"/>
        <w:ind w:firstLine="684"/>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b/>
          <w:color w:val="000000"/>
          <w:sz w:val="24"/>
          <w:rFonts w:ascii="Times New Roman" w:hAnsi="Times New Roman"/>
        </w:rPr>
      </w:pPr>
      <w:r>
        <w:rPr>
          <w:color w:val="000000"/>
          <w:sz w:val="24"/>
          <w:rFonts w:ascii="Times New Roman" w:hAnsi="Times New Roman"/>
        </w:rPr>
        <w:t xml:space="preserve">Yuqoridagi qonunchilik hujjatlari talablaridan kelib chiqqan holda ish boʻyicha </w:t>
      </w:r>
      <w:r>
        <w:rPr>
          <w:sz w:val="24"/>
          <w:rFonts w:ascii="Times New Roman" w:hAnsi="Times New Roman"/>
        </w:rPr>
        <w:t xml:space="preserve">daʼvoni taʼminlash chorasi sifatida </w:t>
      </w:r>
      <w:r>
        <w:rPr>
          <w:vanish w:val="false"/>
          <w:sz w:val="24"/>
          <w:rFonts w:ascii="Times New Roman" w:hAnsi="Times New Roman"/>
        </w:rPr>
        <w:fldChar w:fldCharType="begin"/>
        <w:instrText xml:space="preserve">X {"Y":10}</w:instrText>
        <w:fldChar w:fldCharType="separate"/>
        <w:t xml:space="preserve">Qaysi turdagi daʼvoni taʼminlash chorasi qo‘llanilishi so‘raladi</w:t>
      </w:r>
      <w:r>
        <w:rPr>
          <w:vanish w:val="false"/>
          <w:sz w:val="24"/>
          <w:rFonts w:ascii="Times New Roman" w:hAnsi="Times New Roman"/>
        </w:rPr>
        <w:fldChar w:fldCharType="end"/>
      </w:r>
      <w:r>
        <w:rPr>
          <w:sz w:val="24"/>
          <w:rFonts w:ascii="Times New Roman" w:hAnsi="Times New Roman"/>
        </w:rPr>
        <w:t xml:space="preserve"> qoʻllash maqsadga muvofiq deb hisoblayman. Arizamni asoslovchi hujjatlarni sudga taqdim etaman. </w:t>
      </w:r>
    </w:p>
    <w:p>
      <w:pPr>
        <w:jc w:val="both"/>
        <w:ind w:firstLine="684"/>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4"/>
          <w:rFonts w:ascii="Times New Roman" w:hAnsi="Times New Roman"/>
        </w:rPr>
      </w:pPr>
      <w:r>
        <w:rPr>
          <w:color w:val="000000"/>
          <w:sz w:val="24"/>
          <w:rFonts w:ascii="Times New Roman" w:hAnsi="Times New Roman"/>
        </w:rPr>
        <w:t xml:space="preserve">Javobgarning nomida boʻlgan mol-mulklarning hujjatlari va daʼvoni taʼminlashga asos boʻlgan dalillarni sudga taqdim etaman. </w:t>
      </w:r>
    </w:p>
    <w:p>
      <w:pPr>
        <w:jc w:val="both"/>
        <w:ind w:firstLine="684"/>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4"/>
          <w:rFonts w:ascii="Times New Roman" w:hAnsi="Times New Roman"/>
        </w:rPr>
      </w:pPr>
      <w:r>
        <w:rPr>
          <w:color w:val="000000"/>
          <w:sz w:val="24"/>
          <w:rFonts w:ascii="Times New Roman" w:hAnsi="Times New Roman"/>
        </w:rPr>
        <w:t xml:space="preserve">Yuqoridagilardan kelib chiqib, Oʻzbekiston Respublikasi Fuqarolik protsessual kodeksining 106-107-moddasiga asoslanib </w:t>
      </w:r>
      <w:r>
        <w:rPr>
          <w:sz w:val="24"/>
          <w:rFonts w:ascii="Times New Roman" w:hAnsi="Times New Roman"/>
        </w:rPr>
        <w:t xml:space="preserve">daʼvoni taʼminlash chorasi sifatida </w:t>
      </w:r>
      <w:r>
        <w:rPr>
          <w:vanish w:val="false"/>
          <w:sz w:val="24"/>
          <w:rFonts w:ascii="Times New Roman" w:hAnsi="Times New Roman"/>
        </w:rPr>
        <w:fldChar w:fldCharType="begin"/>
        <w:instrText xml:space="preserve">X {"Y":10}</w:instrText>
        <w:fldChar w:fldCharType="separate"/>
        <w:t xml:space="preserve">Qaysi turdagi daʼvoni taʼminlash chorasi qo‘llanilishi so‘raladi</w:t>
      </w:r>
      <w:r>
        <w:rPr>
          <w:vanish w:val="false"/>
          <w:sz w:val="24"/>
          <w:rFonts w:ascii="Times New Roman" w:hAnsi="Times New Roman"/>
        </w:rPr>
        <w:fldChar w:fldCharType="end"/>
      </w:r>
      <w:r>
        <w:rPr>
          <w:sz w:val="24"/>
          <w:rFonts w:ascii="Times New Roman" w:hAnsi="Times New Roman"/>
        </w:rPr>
        <w:t xml:space="preserve"> qoʻllashingizni soʻrayman. </w:t>
      </w:r>
    </w:p>
    <w:p>
      <w:pPr>
        <w:jc w:val="both"/>
        <w:ind w:firstLine="709"/>
        <w:spacing w:after="0" w:line="240" w:lineRule="auto"/>
        <w:rPr>
          <w:b/>
          <w:color w:val="000000"/>
          <w:sz w:val="24"/>
          <w:rFonts w:ascii="Times New Roman" w:hAnsi="Times New Roman"/>
        </w:rPr>
      </w:pPr>
    </w:p>
    <w:p>
      <w:pPr>
        <w:jc w:val="both"/>
        <w:spacing w:after="0" w:line="240" w:lineRule="auto"/>
        <w:rPr>
          <w:sz w:val="24"/>
          <w:rFonts w:ascii="Times New Roman" w:hAnsi="Times New Roman"/>
        </w:rPr>
      </w:pPr>
    </w:p>
    <w:p>
      <w:pPr>
        <w:pStyle w:val="a0"/>
        <w:jc w:val="both"/>
        <w:spacing w:after="0" w:line="240" w:lineRule="auto"/>
        <w:rPr>
          <w:sz w:val="24"/>
          <w:rFonts w:ascii="Times New Roman" w:hAnsi="Times New Roman"/>
        </w:rPr>
      </w:pPr>
      <w:r>
        <w:rPr>
          <w:sz w:val="24"/>
          <w:rFonts w:ascii="Times New Roman" w:hAnsi="Times New Roman"/>
        </w:rPr>
        <w:t xml:space="preserve">Ilova: </w:t>
      </w:r>
    </w:p>
    <w:p>
      <w:pPr>
        <w:pStyle w:val="a0"/>
        <w:jc w:val="both"/>
        <w:spacing w:after="0" w:line="240" w:lineRule="auto"/>
        <w:rPr>
          <w:sz w:val="24"/>
          <w:rFonts w:ascii="Times New Roman" w:hAnsi="Times New Roman"/>
        </w:rPr>
      </w:pPr>
      <w:r>
        <w:rPr>
          <w:sz w:val="24"/>
          <w:rFonts w:ascii="Times New Roman" w:hAnsi="Times New Roman"/>
        </w:rPr>
        <w:t xml:space="preserve">Arizani asoslovchi hujjatlar</w:t>
      </w:r>
    </w:p>
    <w:p>
      <w:pPr>
        <w:pStyle w:val="a0"/>
        <w:jc w:val="both"/>
        <w:spacing w:after="0" w:line="240" w:lineRule="auto"/>
        <w:rPr>
          <w:sz w:val="24"/>
          <w:rFonts w:ascii="Times New Roman" w:hAnsi="Times New Roman"/>
        </w:rPr>
      </w:pPr>
    </w:p>
    <w:p>
      <w:pPr>
        <w:pStyle w:val="a0"/>
        <w:jc w:val="both"/>
        <w:spacing w:after="0" w:line="240" w:lineRule="auto"/>
        <w:rPr>
          <w:sz w:val="24"/>
          <w:rFonts w:ascii="Times New Roman" w:hAnsi="Times New Roman"/>
        </w:rPr>
      </w:pPr>
    </w:p>
    <w:tbl>
      <w:tblPr>
        <w:tblW w:w="0" w:type="auto"/>
      </w:tblPr>
      <w:tblGrid>
        <w:gridCol w:w="3190"/>
        <w:gridCol w:w="3190"/>
        <w:gridCol w:w="3191"/>
      </w:tblGrid>
      <w:tr>
        <w:tc>
          <w:tcPr>
            <w:tcW w:w="3190" w:type="dxa"/>
          </w:tcPr>
          <w:p>
            <w:pPr>
              <w:pStyle w:val="a0"/>
              <w:jc w:val="both"/>
              <w:spacing w:before="40" w:after="0"/>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Ariza beruvchi shaxsning F.I.Osi</w:t>
            </w:r>
            <w:r>
              <w:rPr>
                <w:vanish w:val="false"/>
                <w:sz w:val="24"/>
                <w:rFonts w:ascii="Times New Roman" w:hAnsi="Times New Roman"/>
              </w:rPr>
              <w:fldChar w:fldCharType="end"/>
            </w:r>
          </w:p>
          <w:p>
            <w:pPr>
              <w:pStyle w:val="a0"/>
              <w:jc w:val="both"/>
              <w:spacing w:before="40" w:after="0"/>
              <w:rPr>
                <w:sz w:val="24"/>
                <w:rFonts w:ascii="Times New Roman" w:hAnsi="Times New Roman"/>
              </w:rPr>
            </w:pPr>
          </w:p>
        </w:tc>
        <w:tc>
          <w:tcPr>
            <w:tcW w:w="3190" w:type="dxa"/>
          </w:tcPr>
          <w:p>
            <w:pPr>
              <w:pStyle w:val="a0"/>
              <w:spacing w:before="40" w:after="0"/>
              <w:pBdr>
                <w:bottom w:sz="12" w:space="1" w:color="auto" w:val="single"/>
              </w:pBdr>
              <w:rPr>
                <w:sz w:val="24"/>
                <w:rFonts w:ascii="Times New Roman" w:hAnsi="Times New Roman"/>
              </w:rPr>
            </w:pPr>
          </w:p>
          <w:p>
            <w:pPr>
              <w:pStyle w:val="a0"/>
              <w:jc w:val="center"/>
              <w:spacing w:before="40" w:after="0"/>
              <w:rPr>
                <w:sz w:val="24"/>
                <w:rFonts w:ascii="Times New Roman" w:hAnsi="Times New Roman"/>
              </w:rPr>
            </w:pPr>
            <w:r>
              <w:rPr>
                <w:sz w:val="24"/>
                <w:rFonts w:ascii="Times New Roman" w:hAnsi="Times New Roman"/>
              </w:rPr>
              <w:t>imzo</w:t>
            </w:r>
          </w:p>
        </w:tc>
        <w:tc>
          <w:tcPr>
            <w:tcW w:w="3191" w:type="dxa"/>
            <w:hideMark/>
          </w:tcPr>
          <w:p>
            <w:pPr>
              <w:pStyle w:val="a0"/>
              <w:jc w:val="right"/>
              <w:spacing w:before="40"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Ariza berilgan sana</w:t>
            </w:r>
            <w:r>
              <w:rPr>
                <w:vanish w:val="false"/>
                <w:sz w:val="24"/>
                <w:rFonts w:ascii="Times New Roman" w:hAnsi="Times New Roman"/>
              </w:rPr>
              <w:fldChar w:fldCharType="end"/>
            </w:r>
            <w:r>
              <w:rPr>
                <w:sz w:val="24"/>
                <w:rFonts w:ascii="Times New Roman" w:hAnsi="Times New Roman"/>
              </w:rPr>
              <w:t xml:space="preserve"> </w:t>
            </w:r>
          </w:p>
        </w:tc>
      </w:tr>
    </w:tbl>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jc w:val="both"/>
        <w:spacing w:after="0"/>
        <w:rPr>
          <w:b/>
          <w:sz w:val="24"/>
          <w:rFonts w:ascii="Times New Roman" w:hAnsi="Times New Roman"/>
        </w:rPr>
      </w:pPr>
    </w:p>
    <w:p>
      <w:pPr>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6"/>
          <w:rFonts w:ascii="Times New Roman" w:hAnsi="Times New Roman"/>
        </w:rPr>
      </w:pPr>
    </w:p>
    <w:p>
      <w:pPr>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6"/>
          <w:rFonts w:ascii="Times New Roman" w:hAnsi="Times New Roman"/>
        </w:rPr>
      </w:pPr>
    </w:p>
    <w:sectPr>
      <w:pgSz w:w="11906" w:h="16838"/>
      <w:pgMar w:left="1701" w:right="567" w:top="454" w:bottom="454" w:header="720"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568" w:rsidRDefault="00165568">
      <w:pPr>
        <w:spacing w:after="0" w:line="240" w:lineRule="auto"/>
      </w:pPr>
      <w:r>
        <w:separator/>
      </w:r>
    </w:p>
  </w:endnote>
  <w:endnote w:type="continuationSeparator" w:id="0">
    <w:p w:rsidR="00165568" w:rsidRDefault="00165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568" w:rsidRDefault="00165568">
      <w:pPr>
        <w:spacing w:after="0" w:line="240" w:lineRule="auto"/>
      </w:pPr>
      <w:r>
        <w:separator/>
      </w:r>
    </w:p>
  </w:footnote>
  <w:footnote w:type="continuationSeparator" w:id="0">
    <w:p w:rsidR="00165568" w:rsidRDefault="001655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135D3"/>
    <w:rsid w:val="00025C4A"/>
    <w:rsid w:val="00050213"/>
    <w:rsid w:val="0011144D"/>
    <w:rsid w:val="00153E18"/>
    <w:rsid w:val="00157AE4"/>
    <w:rsid w:val="00165568"/>
    <w:rsid w:val="00224F81"/>
    <w:rsid w:val="00256D22"/>
    <w:rsid w:val="002A71BD"/>
    <w:rsid w:val="002D3093"/>
    <w:rsid w:val="002F49D3"/>
    <w:rsid w:val="00330DEC"/>
    <w:rsid w:val="00340C52"/>
    <w:rsid w:val="003514E0"/>
    <w:rsid w:val="00397C52"/>
    <w:rsid w:val="003E2C3D"/>
    <w:rsid w:val="00421EFB"/>
    <w:rsid w:val="004D234D"/>
    <w:rsid w:val="004E592E"/>
    <w:rsid w:val="005244B8"/>
    <w:rsid w:val="00551E5D"/>
    <w:rsid w:val="00573D5F"/>
    <w:rsid w:val="005F43DE"/>
    <w:rsid w:val="005F5E91"/>
    <w:rsid w:val="0063461B"/>
    <w:rsid w:val="00636B17"/>
    <w:rsid w:val="006428DD"/>
    <w:rsid w:val="006576BC"/>
    <w:rsid w:val="006740F4"/>
    <w:rsid w:val="00680D9A"/>
    <w:rsid w:val="006F2181"/>
    <w:rsid w:val="00715654"/>
    <w:rsid w:val="00740520"/>
    <w:rsid w:val="00783D2C"/>
    <w:rsid w:val="007B4C57"/>
    <w:rsid w:val="007D2293"/>
    <w:rsid w:val="007D4079"/>
    <w:rsid w:val="007E3FCD"/>
    <w:rsid w:val="007F438A"/>
    <w:rsid w:val="00872E91"/>
    <w:rsid w:val="0087799D"/>
    <w:rsid w:val="00890B28"/>
    <w:rsid w:val="008D0305"/>
    <w:rsid w:val="008F4682"/>
    <w:rsid w:val="009454D1"/>
    <w:rsid w:val="009A2AC7"/>
    <w:rsid w:val="009A6B02"/>
    <w:rsid w:val="009F1335"/>
    <w:rsid w:val="00A230A1"/>
    <w:rsid w:val="00A64D3E"/>
    <w:rsid w:val="00AA79BF"/>
    <w:rsid w:val="00AB35EA"/>
    <w:rsid w:val="00AC61FF"/>
    <w:rsid w:val="00B01ED2"/>
    <w:rsid w:val="00B11900"/>
    <w:rsid w:val="00B231DE"/>
    <w:rsid w:val="00C07367"/>
    <w:rsid w:val="00C77964"/>
    <w:rsid w:val="00CC1796"/>
    <w:rsid w:val="00D05289"/>
    <w:rsid w:val="00DE0B0A"/>
    <w:rsid w:val="00DF2BC9"/>
    <w:rsid w:val="00E01068"/>
    <w:rsid w:val="00E27B62"/>
    <w:rsid w:val="00E508D5"/>
    <w:rsid w:val="00EA33AC"/>
    <w:rsid w:val="00EA38DD"/>
    <w:rsid w:val="00EF1491"/>
    <w:rsid w:val="00F3617A"/>
    <w:rsid w:val="00F452C6"/>
    <w:rsid w:val="00F46E5C"/>
    <w:rsid w:val="00F827F3"/>
    <w:rsid w:val="00F87261"/>
    <w:rsid w:val="00FA007E"/>
    <w:rsid w:val="00FA0C56"/>
    <w:rsid w:val="00FA1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B020412E-18DC-4FBF-91A1-AC30CA4D1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link w:val="a9"/>
    <w:pPr>
      <w:spacing w:after="120"/>
    </w:pPr>
  </w:style>
  <w:style w:type="paragraph" w:styleId="aa">
    <w:name w:val="List"/>
    <w:basedOn w:val="a0"/>
    <w:rPr>
      <w:rFonts w:cs="Mangal"/>
    </w:rPr>
  </w:style>
  <w:style w:type="paragraph" w:styleId="ab">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c">
    <w:name w:val="Normal (Web)"/>
    <w:basedOn w:val="a"/>
    <w:pPr>
      <w:spacing w:before="280" w:after="280" w:line="240" w:lineRule="auto"/>
    </w:pPr>
    <w:rPr>
      <w:rFonts w:ascii="Times New Roman" w:eastAsia="Times New Roman" w:hAnsi="Times New Roman"/>
      <w:sz w:val="24"/>
      <w:szCs w:val="24"/>
    </w:rPr>
  </w:style>
  <w:style w:type="paragraph" w:styleId="ad">
    <w:name w:val="header"/>
    <w:basedOn w:val="a"/>
    <w:pPr>
      <w:tabs>
        <w:tab w:val="center" w:pos="4677"/>
        <w:tab w:val="right" w:pos="9355"/>
      </w:tabs>
      <w:spacing w:after="0" w:line="240" w:lineRule="auto"/>
    </w:pPr>
  </w:style>
  <w:style w:type="paragraph" w:styleId="ae">
    <w:name w:val="footer"/>
    <w:basedOn w:val="a"/>
    <w:link w:val="af"/>
    <w:pPr>
      <w:tabs>
        <w:tab w:val="center" w:pos="4677"/>
        <w:tab w:val="right" w:pos="9355"/>
      </w:tabs>
      <w:spacing w:after="0" w:line="240" w:lineRule="auto"/>
    </w:pPr>
  </w:style>
  <w:style w:type="character" w:customStyle="1" w:styleId="af">
    <w:name w:val="Нижний колонтитул Знак"/>
    <w:link w:val="ae"/>
    <w:locked/>
    <w:rsid w:val="003E2C3D"/>
    <w:rPr>
      <w:rFonts w:ascii="Calibri" w:eastAsia="Calibri" w:hAnsi="Calibri"/>
      <w:sz w:val="22"/>
      <w:szCs w:val="22"/>
      <w:lang w:val="ru-RU" w:eastAsia="zh-CN" w:bidi="ar-SA"/>
    </w:rPr>
  </w:style>
  <w:style w:type="character" w:customStyle="1" w:styleId="a9">
    <w:name w:val="Основной текст Знак"/>
    <w:link w:val="a0"/>
    <w:rsid w:val="00B231DE"/>
    <w:rPr>
      <w:rFonts w:ascii="Calibri" w:eastAsia="Calibri" w:hAnsi="Calibri"/>
      <w:sz w:val="22"/>
      <w:szCs w:val="22"/>
      <w:lang w:eastAsia="zh-CN"/>
    </w:rPr>
  </w:style>
  <w:style w:type="paragraph" w:styleId="af0">
    <w:name w:val="List Paragraph"/>
    <w:basedOn w:val="a"/>
    <w:uiPriority w:val="34"/>
    <w:qFormat/>
    <w:rsid w:val="00B231DE"/>
    <w:pPr>
      <w:suppressAutoHyphens w:val="0"/>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992046">
      <w:bodyDiv w:val="1"/>
      <w:marLeft w:val="0"/>
      <w:marRight w:val="0"/>
      <w:marTop w:val="0"/>
      <w:marBottom w:val="0"/>
      <w:divBdr>
        <w:top w:val="none" w:sz="0" w:space="0" w:color="auto"/>
        <w:left w:val="none" w:sz="0" w:space="0" w:color="auto"/>
        <w:bottom w:val="none" w:sz="0" w:space="0" w:color="auto"/>
        <w:right w:val="none" w:sz="0" w:space="0" w:color="auto"/>
      </w:divBdr>
    </w:div>
    <w:div w:id="78322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2022-09-16T04:19:00Z</dcterms:created>
  <dcterms:modified xsi:type="dcterms:W3CDTF">2022-09-16T04:19:00Z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comment xml:space="preserv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 shaxsning yashash manzili</w:name>
    <w:value w:hidden="false">
      <w:unit w:active="false"/>
    </w:value>
  </w:element>
  <w:element w:id="6" w:kind="variable" w:selector="check" w:type="string" w:valueMode="normal" w:required="false" w:groupID="4">
    <w:identifier xml:space="preserve">ID6</w:identifier>
    <w:name xml:space="preserve">Ariza beruvchi shaxsning F.I.Osi</w:name>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string" w:valueMode="normal" w:required="false" w:groupID="7">
    <w:identifier xml:space="preserve">ID8</w:identifier>
    <w:name xml:space="preserve">Ish bo‘yicha javobgar tashkilotning tashkiliy huquqiy shakli va nomi</w:name>
    <w:value w:hidden="false">
      <w:unit w:active="false"/>
    </w:value>
  </w:element>
  <w:element w:id="9" w:kind="variable" w:selector="check" w:type="string" w:valueMode="normal" w:required="false" w:groupID="7">
    <w:identifier xml:space="preserve">ID9</w:identifier>
    <w:name xml:space="preserve">Daʼvo ariza mazmuni</w:name>
    <w:value w:hidden="false">
      <w:unit w:active="false"/>
    </w:value>
  </w:element>
  <w:element w:id="10" w:kind="variable" w:selector="check" w:type="string" w:valueMode="normal" w:required="false" w:groupID="7">
    <w:identifier xml:space="preserve">ID10</w:identifier>
    <w:name xml:space="preserve">Qaysi turdagi daʼvoni taʼminlash chorasi qo‘llanilishi so‘raladi</w:name>
    <w:value w:hidden="false">
      <w:unit w:active="false"/>
    </w:value>
  </w:element>
</w:structure>
</file>