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14"/>
        <w:gridCol w:w="4841"/>
      </w:tblGrid>
      <w:tr>
        <w:tc>
          <w:tcPr>
            <w:tcW w:w="4514" w:type="dxa"/>
            <w:shd w:fill="auto"/>
          </w:tcPr>
          <w:p>
            <w:pPr>
              <w:spacing w:after="0" w:line="276" w:lineRule="auto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41" w:type="dxa"/>
            <w:shd w:fill="auto"/>
          </w:tcPr>
          <w:p>
            <w:pPr>
              <w:jc w:val="both"/>
              <w:spacing w:after="0" w:line="276" w:lineRule="auto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514" w:type="dxa"/>
            <w:shd w:fill="auto"/>
          </w:tcPr>
          <w:p>
            <w:pPr>
              <w:spacing w:after="0" w:line="276" w:lineRule="auto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41" w:type="dxa"/>
            <w:shd w:fill="auto"/>
          </w:tcPr>
          <w:p>
            <w:pPr>
              <w:jc w:val="both"/>
              <w:spacing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Iltimosnoma beruvchi shaxsning manzili</w:t>
              <w:fldChar w:fldCharType="end"/>
            </w:r>
            <w:r>
              <w:rPr>
                <w:b/>
                <w:color w:val="000000"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514" w:type="dxa"/>
            <w:shd w:fill="auto"/>
          </w:tcPr>
          <w:p>
            <w:pPr>
              <w:spacing w:after="0" w:line="276" w:lineRule="auto"/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41" w:type="dxa"/>
            <w:shd w:fill="auto"/>
          </w:tcPr>
          <w:p>
            <w:pPr>
              <w:jc w:val="both"/>
              <w:spacing w:after="0" w:line="276" w:lineRule="auto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Iltimosnoma beruvchi shaxsning F.I.O.si</w:t>
              <w:fldChar w:fldCharType="end"/>
            </w:r>
            <w:r>
              <w:rPr>
                <w:b/>
                <w:color w:val="000000"/>
                <w:sz w:val="28"/>
                <w:rFonts w:ascii="Times New Roman" w:hAnsi="Times New Roman"/>
              </w:rPr>
              <w:t>dan</w:t>
            </w:r>
          </w:p>
          <w:p>
            <w:pPr>
              <w:jc w:val="both"/>
              <w:spacing w:after="0" w:line="276" w:lineRule="auto"/>
              <w:rPr>
                <w:color w:val="000000"/>
                <w:sz w:val="28"/>
                <w:rFonts w:ascii="Times New Roman" w:hAnsi="Times New Roman"/>
              </w:rPr>
            </w:pPr>
          </w:p>
        </w:tc>
      </w:tr>
      <w:tr>
        <w:trPr>
          <w:trHeight w:val="378"/>
        </w:trPr>
        <w:tc>
          <w:tcPr>
            <w:tcW w:w="4514" w:type="dxa"/>
            <w:shd w:fill="auto"/>
          </w:tcPr>
          <w:p>
            <w:pPr>
              <w:spacing w:after="0" w:line="276" w:lineRule="auto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4841" w:type="dxa"/>
            <w:shd w:fill="auto"/>
          </w:tcPr>
          <w:p>
            <w:pPr>
              <w:jc w:val="both"/>
              <w:spacing w:after="0" w:line="276" w:lineRule="auto"/>
              <w:rPr>
                <w:b/>
                <w:color w:val="000000"/>
                <w:sz w:val="28"/>
                <w:rFonts w:ascii="Times New Roman" w:hAnsi="Times New Roman"/>
              </w:rPr>
            </w:pPr>
          </w:p>
        </w:tc>
      </w:tr>
    </w:tbl>
    <w:p>
      <w:pPr>
        <w:jc w:val="center"/>
        <w:spacing w:after="0"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ILTIMOSNOMA</w:t>
      </w:r>
    </w:p>
    <w:p>
      <w:pPr>
        <w:jc w:val="center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(Dalillarni nomaqbul deb topish to‘g‘risida)</w:t>
      </w:r>
    </w:p>
    <w:p>
      <w:pPr>
        <w:spacing w:after="0" w:line="276" w:lineRule="auto"/>
        <w:rPr>
          <w:sz w:val="28"/>
          <w:rFonts w:ascii="Times New Roman" w:hAnsi="Times New Roman"/>
        </w:rPr>
      </w:pPr>
    </w:p>
    <w:p>
      <w:pPr>
        <w:pStyle w:val="a3"/>
        <w:jc w:val="both"/>
        <w:ind w:firstLine="851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8"/>
          <w:rFonts w:ascii="Times New Roman" w:hAnsi="Times New Roman"/>
        </w:rPr>
        <w:t xml:space="preserve"> sudi tomonidan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da’vogarning F.I.O.si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 yuritilayotgan fuqarolik ishi ko‘rib chiqilmoqda.</w:t>
      </w:r>
    </w:p>
    <w:p>
      <w:pPr>
        <w:pStyle w:val="a3"/>
        <w:jc w:val="both"/>
        <w:ind w:firstLine="851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Ish ko‘rib chiqilishi davomida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beruvchining fikricha nomaqbul dalilni taqdim etgan shaxsning F.I.O.si</w:t>
        <w:fldChar w:fldCharType="end"/>
      </w:r>
      <w:r>
        <w:rPr>
          <w:sz w:val="28"/>
          <w:rFonts w:ascii="Times New Roman" w:hAnsi="Times New Roman"/>
        </w:rPr>
        <w:t xml:space="preserve"> tomonidan taqdim etilgan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beruvchining fikricha nomaqbul deb hisoblanayotgan dalil nomi</w:t>
        <w:fldChar w:fldCharType="end"/>
      </w:r>
      <w:r>
        <w:rPr>
          <w:sz w:val="28"/>
          <w:rFonts w:ascii="Times New Roman" w:hAnsi="Times New Roman"/>
        </w:rPr>
        <w:t xml:space="preserve"> ni nomaqbul dalil deb hisoblayman. Chunki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beruvchi qaysi asoslarga ko‘ra ushbu dalilni nomaqbul dalil deb hisoblaydi?</w:t>
        <w:fldChar w:fldCharType="end"/>
      </w:r>
    </w:p>
    <w:p>
      <w:pPr>
        <w:jc w:val="both"/>
        <w:ind w:firstLine="851"/>
        <w:spacing w:after="0" w:line="276" w:lineRule="auto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Fuqarolik protsessual kodeksining 74-moddasiga ko‘ra </w:t>
      </w:r>
      <w:r>
        <w:rPr>
          <w:color w:val="000000"/>
          <w:sz w:val="28"/>
          <w:rFonts w:ascii="Times New Roman" w:hAnsi="Times New Roman"/>
        </w:rPr>
        <w:t xml:space="preserve">qonun bo‘yicha muayyan isbotlash vositalari bilan tasdiqlanishi shart bo‘lgan ishning holatlari boshqa hech qanday isbotlash vositalari bilan tasdiqlanishi mumkin emas.</w:t>
      </w:r>
    </w:p>
    <w:p>
      <w:pPr>
        <w:jc w:val="both"/>
        <w:ind w:firstLine="851"/>
        <w:spacing w:after="0" w:line="276" w:lineRule="auto"/>
        <w:rPr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 Oliy sudi Plenumining 2020 yil 19 dekabrdagi «Sudlar tomonidan fuqarolik ishlari bo‘yicha dalillar va isbotlashga oid qonun normalarini qo‘llash amaliyoti to‘g‘risida»gi 35-sonli qarorining</w:t>
      </w:r>
      <w:r>
        <w:rPr>
          <w:color w:val="800080"/>
          <w:sz w:val="28"/>
          <w:rFonts w:ascii="Times New Roman" w:hAnsi="Times New Roman"/>
        </w:rPr>
        <w:t xml:space="preserve"> </w:t>
      </w:r>
      <w:r>
        <w:rPr>
          <w:sz w:val="28"/>
          <w:rFonts w:ascii="Times New Roman" w:hAnsi="Times New Roman"/>
        </w:rPr>
        <w:t xml:space="preserve">13-bandiga ko‘ra protsessual qonun talablariga muvofiq, fuqarolik ishlari bo‘yicha isbotlash dalillar aloqadorligi va maqbulligi qoidalariga qat’iy rioya qilgan holda amalga oshirilishi lozim.</w:t>
      </w:r>
    </w:p>
    <w:p>
      <w:pPr>
        <w:pStyle w:val="a3"/>
        <w:jc w:val="both"/>
        <w:ind w:firstLine="851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Fuqarolik protsessual kodeksining </w:t>
        <w:br/>
        <w:t xml:space="preserve">71-75-moddalariga asosan ish ko‘rib chiqilishi davomida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beruvchining fikricha nomaqbul dalilni taqdim etgan shaxsning F.I.O.si</w:t>
        <w:fldChar w:fldCharType="end"/>
      </w:r>
      <w:r>
        <w:rPr>
          <w:sz w:val="28"/>
          <w:rFonts w:ascii="Times New Roman" w:hAnsi="Times New Roman"/>
        </w:rPr>
        <w:t xml:space="preserve"> tomonidan taqdim etilgan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beruvchining fikricha nomaqbul deb hisoblanayotgan dalil nomi</w:t>
        <w:fldChar w:fldCharType="end"/>
      </w:r>
      <w:r>
        <w:rPr>
          <w:sz w:val="28"/>
          <w:rFonts w:ascii="Times New Roman" w:hAnsi="Times New Roman"/>
        </w:rPr>
        <w:t xml:space="preserve">ni nomaqbul dalil deb topishingizni.</w:t>
      </w:r>
    </w:p>
    <w:p>
      <w:pPr>
        <w:jc w:val="both"/>
        <w:ind w:firstLine="851"/>
        <w:spacing w:after="0" w:line="276" w:lineRule="auto"/>
        <w:rPr>
          <w:sz w:val="28"/>
          <w:rFonts w:ascii="Times New Roman" w:hAnsi="Times New Roman"/>
        </w:rPr>
      </w:pPr>
    </w:p>
    <w:p>
      <w:pPr>
        <w:pStyle w:val="a3"/>
        <w:jc w:val="both"/>
        <w:spacing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29"/>
        <w:gridCol w:w="3096"/>
        <w:gridCol w:w="3130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Iltimosnoma beruvchi shaxsning F.I.O.si</w:t>
              <w:fldChar w:fldCharType="end"/>
            </w:r>
          </w:p>
        </w:tc>
        <w:tc>
          <w:tcPr>
            <w:tcW w:w="3190" w:type="dxa"/>
            <w:shd w:fill="auto"/>
          </w:tcPr>
          <w:p>
            <w:pPr>
              <w:pStyle w:val="a3"/>
              <w:spacing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spacing w:after="0" w:line="276" w:lineRule="auto"/>
        <w:rPr>
          <w:color w:val="000000"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4FE"/>
    <w:rsid w:val="00024967"/>
    <w:rsid w:val="00052A59"/>
    <w:rsid w:val="00063DCE"/>
    <w:rsid w:val="00083507"/>
    <w:rsid w:val="000C17AB"/>
    <w:rsid w:val="000C3371"/>
    <w:rsid w:val="002B4FF9"/>
    <w:rsid w:val="004770D8"/>
    <w:rsid w:val="004C54FE"/>
    <w:rsid w:val="00520554"/>
    <w:rsid w:val="00522AF7"/>
    <w:rsid w:val="005709AB"/>
    <w:rsid w:val="00592BE8"/>
    <w:rsid w:val="005A5FBB"/>
    <w:rsid w:val="006105F7"/>
    <w:rsid w:val="0064683F"/>
    <w:rsid w:val="0065532E"/>
    <w:rsid w:val="00665CA9"/>
    <w:rsid w:val="006B2CBC"/>
    <w:rsid w:val="007916A2"/>
    <w:rsid w:val="007B2440"/>
    <w:rsid w:val="00855143"/>
    <w:rsid w:val="008A07B1"/>
    <w:rsid w:val="008C3595"/>
    <w:rsid w:val="00913ECC"/>
    <w:rsid w:val="00951FF0"/>
    <w:rsid w:val="009A4512"/>
    <w:rsid w:val="00A52EE5"/>
    <w:rsid w:val="00A865FE"/>
    <w:rsid w:val="00A919EC"/>
    <w:rsid w:val="00AE7572"/>
    <w:rsid w:val="00B870D6"/>
    <w:rsid w:val="00C20D02"/>
    <w:rsid w:val="00C26004"/>
    <w:rsid w:val="00CC67AD"/>
    <w:rsid w:val="00CF2564"/>
    <w:rsid w:val="00DB5B1F"/>
    <w:rsid w:val="00DB7F00"/>
    <w:rsid w:val="00E21CB9"/>
    <w:rsid w:val="00E45700"/>
    <w:rsid w:val="00E57071"/>
    <w:rsid w:val="00E8720F"/>
    <w:rsid w:val="00EB1D37"/>
    <w:rsid w:val="00EC5BF3"/>
    <w:rsid w:val="00EE5829"/>
    <w:rsid w:val="00F05DC5"/>
    <w:rsid w:val="00F31869"/>
    <w:rsid w:val="00F363A4"/>
    <w:rsid w:val="00F54FDF"/>
    <w:rsid w:val="00F7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71CF5-FEDD-46E3-B82D-81639147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20554"/>
    <w:pPr>
      <w:suppressAutoHyphens/>
      <w:spacing w:after="120" w:line="276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Основной текст Знак"/>
    <w:basedOn w:val="a0"/>
    <w:link w:val="a3"/>
    <w:rsid w:val="00520554"/>
    <w:rPr>
      <w:rFonts w:ascii="Calibri" w:eastAsia="Calibri" w:hAnsi="Calibri" w:cs="Times New Roman"/>
      <w:lang w:eastAsia="zh-CN"/>
    </w:rPr>
  </w:style>
  <w:style w:type="paragraph" w:styleId="a5">
    <w:name w:val="List Paragraph"/>
    <w:basedOn w:val="a"/>
    <w:uiPriority w:val="34"/>
    <w:qFormat/>
    <w:rsid w:val="0052055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clauseprfx">
    <w:name w:val="clauseprfx"/>
    <w:basedOn w:val="a0"/>
    <w:rsid w:val="00DB7F00"/>
  </w:style>
  <w:style w:type="character" w:customStyle="1" w:styleId="clausesuff">
    <w:name w:val="clausesuff"/>
    <w:basedOn w:val="a0"/>
    <w:rsid w:val="00DB7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7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616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0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Muzaffar Axmedov</dc:creator>
  <cp:keywords/>
  <dc:description/>
  <cp:lastModifiedBy>Shakarboy G'oyibnazarov</cp:lastModifiedBy>
  <cp:revision>2</cp:revision>
  <dcterms:created xsi:type="dcterms:W3CDTF">2024-03-28T04:09:00Z</dcterms:created>
  <dcterms:modified xsi:type="dcterms:W3CDTF">2024-03-28T04:09:00Z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Iltimosnoma beruvchi shaxsning manzili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Iltimosnoma beruvchi shaxsning F.I.O.si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Iltimosnoma mazmuni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Ish bo‘yicha da’vogarning F.I.O.si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Ish bo‘yicha javobgarning F.I.O.si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Da’vo ariza mazmuni</w:name>
    <w:value w:hidden="false">
      <w:unit w:active="false"/>
    </w:value>
  </w:element>
  <w:element w:id="10" w:kind="variable" w:selector="check" w:type="string" w:valueMode="normal" w:required="false" w:groupID="6">
    <w:identifier xml:space="preserve">ID10</w:identifier>
    <w:name xml:space="preserve">Iltimosnoma beruvchining fikricha nomaqbul dalilni taqdim etgan shaxsning F.I.O.si</w:name>
    <w:value w:hidden="false">
      <w:unit w:active="false"/>
    </w:value>
  </w:element>
  <w:element w:id="11" w:kind="variable" w:selector="check" w:type="string" w:valueMode="normal" w:required="false" w:groupID="6">
    <w:identifier xml:space="preserve">ID11</w:identifier>
    <w:name xml:space="preserve">Iltimosnoma beruvchining fikricha nomaqbul deb hisoblanayotgan dalil nomi</w:name>
    <w:comment xml:space="preserve">Izoh: Ushbu bandda nomaqbul deb hisoblanuvchi dalil nimadan iboratligi yoziladi. Masalan: Qaror, vasiyatnoma, guvohnoma yoki boshqa hujjat</w:comment>
    <w:value w:hidden="false">
      <w:unit w:active="false"/>
    </w:value>
  </w:element>
  <w:element w:id="12" w:kind="variable" w:selector="check" w:type="string" w:valueMode="normal" w:required="false" w:groupID="6">
    <w:identifier xml:space="preserve">ID12</w:identifier>
    <w:name xml:space="preserve">Iltimosnoma beruvchi qaysi asoslarga ko‘ra ushbu dalilni nomaqbul dalil deb hisoblaydi?</w:name>
    <w:comment xml:space="preserve">Izoh: Ushbu bandda iltimosnoma beruvchi qaysi asoslarga ko‘ra ushbu dalilni nomaqbul dalil deb hisoblashi batafsil yozilishi lozim</w:comment>
    <w:value w:hidden="false">
      <w:unit w:active="false"/>
    </w:value>
  </w:element>
</w:structure>
</file>