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947" w:type="pct"/>
      </w:tblPr>
      <w:tblGrid>
        <w:gridCol w:w="4543"/>
        <w:gridCol w:w="4993"/>
      </w:tblGrid>
      <w:tr>
        <w:tc>
          <w:tcPr>
            <w:tcW w:w="2382" w:type="pct"/>
            <w:shd w:fill="auto"/>
          </w:tcPr>
          <w:p>
            <w:pPr>
              <w:spacing w:after="0" w:line="240" w:lineRule="auto"/>
              <w:rPr>
                <w:b/>
                <w:sz w:val="26"/>
                <w:rFonts w:ascii="Times New Roman" w:hAnsi="Times New Roman"/>
              </w:rPr>
            </w:pPr>
          </w:p>
        </w:tc>
        <w:tc>
          <w:tcPr>
            <w:tcW w:w="2618" w:type="pct"/>
            <w:shd w:fill="auto"/>
            <w:hideMark/>
          </w:tcPr>
          <w:p>
            <w:pPr>
              <w:jc w:val="both"/>
              <w:spacing w:after="0" w:line="240" w:lineRule="auto"/>
              <w:rPr>
                <w:b/>
                <w:sz w:val="26"/>
                <w:rFonts w:ascii="Times New Roman" w:hAnsi="Times New Roman"/>
              </w:rPr>
            </w:pPr>
            <w:r>
              <w:rPr>
                <w:b/>
                <w:sz w:val="26"/>
                <w:rFonts w:ascii="Times New Roman" w:hAnsi="Times New Roman"/>
              </w:rPr>
              <w:t xml:space="preserve">Fuqarolik ishlari bo‘yicha </w:t>
            </w:r>
            <w:r>
              <w:rPr>
                <w:b/>
                <w:vanish w:val="false"/>
                <w:sz w:val="26"/>
                <w:rFonts w:ascii="Times New Roman" w:hAnsi="Times New Roman"/>
              </w:rPr>
              <w:fldChar w:fldCharType="begin"/>
              <w:instrText xml:space="preserve">X {"Y":2}</w:instrText>
              <w:fldChar w:fldCharType="separate"/>
            </w:r>
            <w:r>
              <w:rPr>
                <w:b/>
                <w:vanish w:val="false"/>
                <w:sz w:val="26"/>
                <w:rFonts w:ascii="Times New Roman" w:hAnsi="Times New Roman"/>
              </w:rPr>
              <w:t xml:space="preserve">Da’vo ariza berilayotgan sud joylashgan hudud nomi</w:t>
              <w:fldChar w:fldCharType="end"/>
            </w:r>
            <w:r>
              <w:rPr>
                <w:b/>
                <w:sz w:val="26"/>
                <w:rFonts w:ascii="Times New Roman" w:hAnsi="Times New Roman"/>
              </w:rPr>
              <w:t xml:space="preserve"> tumanlararo (tuman) sudiga </w:t>
            </w:r>
          </w:p>
          <w:p>
            <w:pPr>
              <w:jc w:val="both"/>
              <w:spacing w:after="0" w:line="240" w:lineRule="auto"/>
              <w:rPr>
                <w:b/>
                <w:sz w:val="26"/>
                <w:rFonts w:ascii="Times New Roman" w:hAnsi="Times New Roman"/>
              </w:rPr>
            </w:pPr>
          </w:p>
        </w:tc>
      </w:tr>
      <w:tr>
        <w:tc>
          <w:tcPr>
            <w:tcW w:w="2382" w:type="pct"/>
            <w:shd w:fill="auto"/>
            <w:hideMark/>
          </w:tcPr>
          <w:p>
            <w:pPr>
              <w:jc w:val="right"/>
              <w:spacing w:after="0" w:line="240" w:lineRule="auto"/>
              <w:rPr>
                <w:b/>
                <w:sz w:val="26"/>
                <w:rFonts w:ascii="Times New Roman" w:hAnsi="Times New Roman"/>
              </w:rPr>
            </w:pPr>
            <w:r>
              <w:rPr>
                <w:b/>
                <w:sz w:val="26"/>
                <w:rFonts w:ascii="Times New Roman" w:hAnsi="Times New Roman"/>
              </w:rPr>
              <w:t>Daʼvogar:</w:t>
            </w:r>
          </w:p>
          <w:p>
            <w:pPr>
              <w:jc w:val="right"/>
              <w:spacing w:after="0" w:line="240" w:lineRule="auto"/>
              <w:rPr>
                <w:b/>
                <w:sz w:val="26"/>
                <w:rFonts w:ascii="Times New Roman" w:hAnsi="Times New Roman"/>
              </w:rPr>
            </w:pPr>
          </w:p>
          <w:p>
            <w:pPr>
              <w:jc w:val="right"/>
              <w:spacing w:after="0" w:line="240" w:lineRule="auto"/>
              <w:rPr>
                <w:b/>
                <w:sz w:val="26"/>
                <w:rFonts w:ascii="Times New Roman" w:hAnsi="Times New Roman"/>
              </w:rPr>
            </w:pPr>
          </w:p>
          <w:p>
            <w:pPr>
              <w:jc w:val="right"/>
              <w:spacing w:after="0" w:line="240" w:lineRule="auto"/>
              <w:rPr>
                <w:b/>
                <w:sz w:val="26"/>
                <w:rFonts w:ascii="Times New Roman" w:hAnsi="Times New Roman"/>
              </w:rPr>
            </w:pPr>
          </w:p>
          <w:p>
            <w:pPr>
              <w:spacing w:after="0" w:line="240" w:lineRule="auto"/>
              <w:rPr>
                <w:b/>
                <w:sz w:val="26"/>
                <w:rFonts w:ascii="Times New Roman" w:hAnsi="Times New Roman"/>
              </w:rPr>
            </w:pPr>
            <w:r>
              <w:rPr>
                <w:b/>
                <w:sz w:val="26"/>
                <w:rFonts w:ascii="Times New Roman" w:hAnsi="Times New Roman"/>
              </w:rPr>
              <w:t xml:space="preserve"> </w:t>
            </w:r>
          </w:p>
        </w:tc>
        <w:tc>
          <w:tcPr>
            <w:tcW w:w="2618" w:type="pct"/>
            <w:shd w:fill="auto"/>
            <w:hideMark/>
          </w:tcPr>
          <w:p>
            <w:pPr>
              <w:jc w:val="both"/>
              <w:spacing w:after="0" w:line="240" w:lineRule="auto"/>
              <w:rPr>
                <w:b/>
                <w:sz w:val="26"/>
                <w:rFonts w:ascii="Times New Roman" w:hAnsi="Times New Roman"/>
              </w:rPr>
            </w:pPr>
            <w:r>
              <w:rPr>
                <w:b/>
                <w:vanish w:val="false"/>
                <w:sz w:val="26"/>
                <w:rFonts w:ascii="Times New Roman" w:hAnsi="Times New Roman"/>
              </w:rPr>
              <w:fldChar w:fldCharType="begin"/>
              <w:instrText xml:space="preserve">X {"Y":4}</w:instrText>
              <w:fldChar w:fldCharType="separate"/>
            </w:r>
            <w:r>
              <w:rPr>
                <w:b/>
                <w:vanish w:val="false"/>
                <w:sz w:val="26"/>
                <w:rFonts w:ascii="Times New Roman" w:hAnsi="Times New Roman"/>
              </w:rPr>
              <w:t xml:space="preserve">Da’vogarning F.I.O. si</w:t>
              <w:fldChar w:fldCharType="end"/>
            </w:r>
          </w:p>
          <w:p>
            <w:pPr>
              <w:jc w:val="both"/>
              <w:spacing w:after="0" w:line="240" w:lineRule="auto"/>
              <w:rPr>
                <w:b/>
                <w:sz w:val="26"/>
                <w:rFonts w:ascii="Times New Roman" w:hAnsi="Times New Roman"/>
              </w:rPr>
            </w:pPr>
            <w:r>
              <w:rPr>
                <w:b/>
                <w:vanish w:val="false"/>
                <w:sz w:val="26"/>
                <w:rFonts w:ascii="Times New Roman" w:hAnsi="Times New Roman"/>
              </w:rPr>
              <w:fldChar w:fldCharType="begin"/>
              <w:instrText xml:space="preserve">X {"Y":5}</w:instrText>
              <w:fldChar w:fldCharType="separate"/>
            </w:r>
            <w:r>
              <w:rPr>
                <w:b/>
                <w:vanish w:val="false"/>
                <w:sz w:val="26"/>
                <w:rFonts w:ascii="Times New Roman" w:hAnsi="Times New Roman"/>
              </w:rPr>
              <w:t xml:space="preserve">Da’vogarning doimiy yashash manzili</w:t>
              <w:fldChar w:fldCharType="end"/>
            </w:r>
          </w:p>
          <w:p>
            <w:pPr>
              <w:jc w:val="both"/>
              <w:spacing w:after="0" w:line="240" w:lineRule="auto"/>
              <w:rPr>
                <w:sz w:val="26"/>
                <w:rFonts w:ascii="Times New Roman" w:hAnsi="Times New Roman"/>
              </w:rPr>
            </w:pPr>
            <w:r>
              <w:rPr>
                <w:b/>
                <w:vanish w:val="false"/>
                <w:sz w:val="26"/>
                <w:rFonts w:ascii="Times New Roman" w:hAnsi="Times New Roman"/>
              </w:rPr>
              <w:fldChar w:fldCharType="begin"/>
              <w:instrText xml:space="preserve">X {"Y":6}</w:instrText>
              <w:fldChar w:fldCharType="separate"/>
            </w:r>
            <w:r>
              <w:rPr>
                <w:b/>
                <w:vanish w:val="false"/>
                <w:sz w:val="26"/>
                <w:rFonts w:ascii="Times New Roman" w:hAnsi="Times New Roman"/>
              </w:rPr>
              <w:t xml:space="preserve">Da’vogar bilan bog‘lanish uchun telefon raqami</w:t>
              <w:fldChar w:fldCharType="end"/>
            </w:r>
          </w:p>
        </w:tc>
      </w:tr>
      <w:tr>
        <w:tc>
          <w:tcPr>
            <w:tcW w:w="2382" w:type="pct"/>
            <w:shd w:fill="auto"/>
            <w:hideMark/>
          </w:tcPr>
          <w:p>
            <w:pPr>
              <w:jc w:val="right"/>
              <w:spacing w:after="0" w:line="240" w:lineRule="auto"/>
              <w:rPr>
                <w:b/>
                <w:sz w:val="26"/>
                <w:rFonts w:ascii="Times New Roman" w:hAnsi="Times New Roman"/>
              </w:rPr>
            </w:pPr>
            <w:r>
              <w:rPr>
                <w:b/>
                <w:sz w:val="26"/>
                <w:rFonts w:ascii="Times New Roman" w:hAnsi="Times New Roman"/>
              </w:rPr>
              <w:t>Javobgar:</w:t>
            </w:r>
          </w:p>
        </w:tc>
        <w:tc>
          <w:tcPr>
            <w:tcW w:w="2618" w:type="pct"/>
            <w:shd w:fill="auto"/>
            <w:hideMark/>
          </w:tcPr>
          <w:p>
            <w:pPr>
              <w:jc w:val="both"/>
              <w:ind w:left="-71"/>
              <w:spacing w:after="0" w:line="240" w:lineRule="auto"/>
              <w:rPr>
                <w:b/>
                <w:sz w:val="26"/>
                <w:rFonts w:ascii="Times New Roman" w:hAnsi="Times New Roman"/>
              </w:rPr>
            </w:pPr>
            <w:r>
              <w:rPr>
                <w:b/>
                <w:vanish w:val="false"/>
                <w:sz w:val="26"/>
                <w:rFonts w:ascii="Times New Roman" w:hAnsi="Times New Roman"/>
              </w:rPr>
              <w:fldChar w:fldCharType="begin"/>
              <w:instrText xml:space="preserve">X {"Y":7}</w:instrText>
              <w:fldChar w:fldCharType="separate"/>
            </w:r>
            <w:r>
              <w:rPr>
                <w:b/>
                <w:vanish w:val="false"/>
                <w:sz w:val="26"/>
                <w:rFonts w:ascii="Times New Roman" w:hAnsi="Times New Roman"/>
              </w:rPr>
              <w:t xml:space="preserve">Javobgar tashkilotning nomi</w:t>
              <w:fldChar w:fldCharType="end"/>
            </w:r>
          </w:p>
          <w:p>
            <w:pPr>
              <w:jc w:val="both"/>
              <w:ind w:left="-71"/>
              <w:spacing w:after="0" w:line="240" w:lineRule="auto"/>
              <w:rPr>
                <w:b/>
                <w:sz w:val="26"/>
                <w:rFonts w:ascii="Times New Roman" w:hAnsi="Times New Roman"/>
              </w:rPr>
            </w:pPr>
            <w:r>
              <w:rPr>
                <w:b/>
                <w:vanish w:val="false"/>
                <w:sz w:val="26"/>
                <w:rFonts w:ascii="Times New Roman" w:hAnsi="Times New Roman"/>
              </w:rPr>
              <w:fldChar w:fldCharType="begin"/>
              <w:instrText xml:space="preserve">X {"Y":8}</w:instrText>
              <w:fldChar w:fldCharType="separate"/>
            </w:r>
            <w:r>
              <w:rPr>
                <w:b/>
                <w:vanish w:val="false"/>
                <w:sz w:val="26"/>
                <w:rFonts w:ascii="Times New Roman" w:hAnsi="Times New Roman"/>
              </w:rPr>
              <w:t xml:space="preserve">Javobgar tashkilotning manzili</w:t>
              <w:fldChar w:fldCharType="end"/>
            </w:r>
          </w:p>
          <w:p>
            <w:pPr>
              <w:jc w:val="both"/>
              <w:ind w:left="-71"/>
              <w:spacing w:after="0" w:line="240" w:lineRule="auto"/>
              <w:rPr>
                <w:b/>
                <w:sz w:val="26"/>
                <w:rFonts w:ascii="Times New Roman" w:hAnsi="Times New Roman"/>
              </w:rPr>
            </w:pPr>
            <w:r>
              <w:rPr>
                <w:b/>
                <w:vanish w:val="false"/>
                <w:sz w:val="26"/>
                <w:rFonts w:ascii="Times New Roman" w:hAnsi="Times New Roman"/>
              </w:rPr>
              <w:fldChar w:fldCharType="begin"/>
              <w:instrText xml:space="preserve">X {"Y":9}</w:instrText>
              <w:fldChar w:fldCharType="separate"/>
            </w:r>
            <w:r>
              <w:rPr>
                <w:b/>
                <w:vanish w:val="false"/>
                <w:sz w:val="26"/>
                <w:rFonts w:ascii="Times New Roman" w:hAnsi="Times New Roman"/>
              </w:rPr>
              <w:t xml:space="preserve">Javobgar tashkilotning STIR raqami</w:t>
              <w:fldChar w:fldCharType="end"/>
            </w:r>
            <w:r>
              <w:rPr>
                <w:b/>
                <w:vanish w:val="false"/>
                <w:sz w:val="26"/>
                <w:rFonts w:ascii="Times New Roman" w:hAnsi="Times New Roman"/>
              </w:rPr>
              <w:fldChar w:fldCharType="begin"/>
              <w:instrText xml:space="preserve">X {"Y":10}</w:instrText>
              <w:fldChar w:fldCharType="separate"/>
            </w:r>
            <w:r>
              <w:rPr>
                <w:b/>
                <w:vanish w:val="false"/>
                <w:sz w:val="26"/>
                <w:rFonts w:ascii="Times New Roman" w:hAnsi="Times New Roman"/>
              </w:rPr>
              <w:t xml:space="preserve">Javobgar tashkilot bilan bog‘lanish uchun telfon raqami</w:t>
              <w:fldChar w:fldCharType="end"/>
            </w:r>
          </w:p>
        </w:tc>
      </w:tr>
    </w:tbl>
    <w:p>
      <w:pPr>
        <w:jc w:val="both"/>
        <w:ind w:left="4245"/>
        <w:spacing w:after="0" w:line="240" w:lineRule="auto"/>
        <w:rPr>
          <w:sz w:val="26"/>
          <w:rFonts w:ascii="Times New Roman" w:hAnsi="Times New Roman"/>
        </w:rPr>
      </w:pPr>
    </w:p>
    <w:p>
      <w:pPr>
        <w:jc w:val="center"/>
        <w:spacing w:after="0" w:line="240" w:lineRule="auto"/>
        <w:rPr>
          <w:b/>
          <w:sz w:val="26"/>
          <w:rFonts w:ascii="Times New Roman" w:hAnsi="Times New Roman"/>
        </w:rPr>
      </w:pPr>
      <w:r>
        <w:rPr>
          <w:b/>
          <w:sz w:val="26"/>
          <w:rFonts w:ascii="Times New Roman" w:hAnsi="Times New Roman"/>
        </w:rPr>
        <w:t xml:space="preserve">D A ʼ V O    A R I Z A</w:t>
      </w:r>
    </w:p>
    <w:p>
      <w:pPr>
        <w:jc w:val="center"/>
        <w:spacing w:after="0" w:line="240" w:lineRule="auto"/>
        <w:rPr>
          <w:i/>
          <w:sz w:val="24"/>
          <w:rFonts w:ascii="Times New Roman" w:hAnsi="Times New Roman"/>
        </w:rPr>
      </w:pPr>
      <w:r>
        <w:rPr>
          <w:i/>
          <w:sz w:val="24"/>
          <w:rFonts w:ascii="Times New Roman" w:hAnsi="Times New Roman"/>
        </w:rPr>
        <w:t xml:space="preserve">(Davlat va jamoat ehtiyojlari uchun olib qoʻyilgan yer uchastkasi va bino-inshoatlar uchun pullik kompensatsiya undirish toʻgʻrisida)</w:t>
      </w:r>
    </w:p>
    <w:p>
      <w:pPr>
        <w:jc w:val="both"/>
        <w:ind w:firstLine="709"/>
        <w:spacing w:after="0" w:line="240" w:lineRule="auto"/>
        <w:rPr>
          <w:sz w:val="26"/>
          <w:rFonts w:ascii="Times New Roman" w:hAnsi="Times New Roman"/>
        </w:rPr>
      </w:pPr>
      <w:r>
        <w:rPr>
          <w:sz w:val="26"/>
          <w:rFonts w:ascii="Times New Roman" w:hAnsi="Times New Roman"/>
        </w:rPr>
        <w:t xml:space="preserve">Menga tegishli bo‘lgan </w:t>
      </w:r>
      <w:r>
        <w:rPr>
          <w:vanish w:val="false"/>
          <w:sz w:val="26"/>
          <w:rFonts w:ascii="Times New Roman" w:hAnsi="Times New Roman"/>
        </w:rPr>
        <w:fldChar w:fldCharType="begin"/>
        <w:instrText xml:space="preserve">X {"Y":12}</w:instrText>
        <w:fldChar w:fldCharType="separate"/>
      </w:r>
      <w:r>
        <w:rPr>
          <w:vanish w:val="false"/>
          <w:sz w:val="26"/>
          <w:rFonts w:ascii="Times New Roman" w:hAnsi="Times New Roman"/>
        </w:rPr>
        <w:t xml:space="preserve">Buzilishga tushgan yer uchastkasi joylashgan manzil</w:t>
        <w:fldChar w:fldCharType="end"/>
      </w:r>
      <w:r>
        <w:rPr>
          <w:sz w:val="26"/>
          <w:rFonts w:ascii="Times New Roman" w:hAnsi="Times New Roman"/>
        </w:rPr>
        <w:t xml:space="preserve"> manzilida joylashgan, kadastr raqami </w:t>
      </w:r>
      <w:r>
        <w:rPr>
          <w:vanish w:val="false"/>
          <w:sz w:val="26"/>
          <w:rFonts w:ascii="Times New Roman" w:hAnsi="Times New Roman"/>
        </w:rPr>
        <w:fldChar w:fldCharType="begin"/>
        <w:instrText xml:space="preserve">X {"Y":13}</w:instrText>
        <w:fldChar w:fldCharType="separate"/>
      </w:r>
      <w:r>
        <w:rPr>
          <w:vanish w:val="false"/>
          <w:sz w:val="26"/>
          <w:rFonts w:ascii="Times New Roman" w:hAnsi="Times New Roman"/>
        </w:rPr>
        <w:t xml:space="preserve">Buzilishga tushgan yer uchastkasining kadastr raqami</w:t>
        <w:fldChar w:fldCharType="end"/>
      </w:r>
      <w:r>
        <w:rPr>
          <w:sz w:val="26"/>
          <w:rFonts w:ascii="Times New Roman" w:hAnsi="Times New Roman"/>
        </w:rPr>
        <w:t xml:space="preserve"> bo‘lgan </w:t>
      </w:r>
      <w:r>
        <w:rPr>
          <w:vanish w:val="false"/>
          <w:sz w:val="26"/>
          <w:rFonts w:ascii="Times New Roman" w:hAnsi="Times New Roman"/>
        </w:rPr>
        <w:fldChar w:fldCharType="begin"/>
        <w:instrText xml:space="preserve">X {"Y":14}</w:instrText>
        <w:fldChar w:fldCharType="separate"/>
      </w:r>
      <w:r>
        <w:rPr>
          <w:vanish w:val="false"/>
          <w:sz w:val="26"/>
          <w:rFonts w:ascii="Times New Roman" w:hAnsi="Times New Roman"/>
        </w:rPr>
        <w:t xml:space="preserve">Buzilishga tushgan yer uchastkasining hajmi</w:t>
        <w:fldChar w:fldCharType="end"/>
      </w:r>
      <w:r>
        <w:rPr>
          <w:sz w:val="26"/>
          <w:rFonts w:ascii="Times New Roman" w:hAnsi="Times New Roman"/>
        </w:rPr>
        <w:t xml:space="preserve"> kv.metr yer maydoni hamda kadastr raqami </w:t>
      </w:r>
      <w:r>
        <w:rPr>
          <w:vanish w:val="false"/>
          <w:sz w:val="26"/>
          <w:rFonts w:ascii="Times New Roman" w:hAnsi="Times New Roman"/>
        </w:rPr>
        <w:fldChar w:fldCharType="begin"/>
        <w:instrText xml:space="preserve">X {"Y":15}</w:instrText>
        <w:fldChar w:fldCharType="separate"/>
      </w:r>
      <w:r>
        <w:rPr>
          <w:vanish w:val="false"/>
          <w:sz w:val="26"/>
          <w:rFonts w:ascii="Times New Roman" w:hAnsi="Times New Roman"/>
        </w:rPr>
        <w:t xml:space="preserve">Buzilishga tushgan bino-inshootning kadastr raqami</w:t>
        <w:fldChar w:fldCharType="end"/>
      </w:r>
      <w:r>
        <w:rPr>
          <w:sz w:val="26"/>
          <w:rFonts w:ascii="Times New Roman" w:hAnsi="Times New Roman"/>
        </w:rPr>
        <w:t xml:space="preserve"> bo‘lgan </w:t>
      </w:r>
      <w:r>
        <w:rPr>
          <w:vanish w:val="false"/>
          <w:sz w:val="26"/>
          <w:rFonts w:ascii="Times New Roman" w:hAnsi="Times New Roman"/>
        </w:rPr>
        <w:fldChar w:fldCharType="begin"/>
        <w:instrText xml:space="preserve">X {"Y":16}</w:instrText>
        <w:fldChar w:fldCharType="separate"/>
      </w:r>
      <w:r>
        <w:rPr>
          <w:vanish w:val="false"/>
          <w:sz w:val="26"/>
          <w:rFonts w:ascii="Times New Roman" w:hAnsi="Times New Roman"/>
        </w:rPr>
        <w:t xml:space="preserve">Buzilishga tushgan bino-inshootning maydoni hajmi</w:t>
        <w:fldChar w:fldCharType="end"/>
      </w:r>
      <w:r>
        <w:rPr>
          <w:sz w:val="26"/>
          <w:rFonts w:ascii="Times New Roman" w:hAnsi="Times New Roman"/>
        </w:rPr>
        <w:t xml:space="preserve"> kv.metr bino-inshooti mavjud. Ushbu yer uchastkasi va bino-inshoatlarim </w:t>
      </w:r>
      <w:r>
        <w:rPr>
          <w:vanish w:val="false"/>
          <w:sz w:val="26"/>
          <w:rFonts w:ascii="Times New Roman" w:hAnsi="Times New Roman"/>
        </w:rPr>
        <w:fldChar w:fldCharType="begin"/>
        <w:instrText xml:space="preserve">X {"Y":17}</w:instrText>
        <w:fldChar w:fldCharType="separate"/>
      </w:r>
      <w:r>
        <w:rPr>
          <w:vanish w:val="false"/>
          <w:sz w:val="26"/>
          <w:rFonts w:ascii="Times New Roman" w:hAnsi="Times New Roman"/>
        </w:rPr>
        <w:t xml:space="preserve">Yer uchastkasi va bino-inshoatlarni buzishga qaror chiqargan tashkilot nomi</w:t>
        <w:fldChar w:fldCharType="end"/>
      </w:r>
      <w:r>
        <w:rPr>
          <w:sz w:val="26"/>
          <w:rFonts w:ascii="Times New Roman" w:hAnsi="Times New Roman"/>
        </w:rPr>
        <w:t xml:space="preserve">ning </w:t>
      </w:r>
      <w:r>
        <w:rPr>
          <w:vanish w:val="false"/>
          <w:sz w:val="26"/>
          <w:rFonts w:ascii="Times New Roman" w:hAnsi="Times New Roman"/>
        </w:rPr>
        <w:fldChar w:fldCharType="begin"/>
        <w:instrText xml:space="preserve">X {"Y":18}</w:instrText>
        <w:fldChar w:fldCharType="separate"/>
      </w:r>
      <w:r>
        <w:rPr>
          <w:vanish w:val="false"/>
          <w:sz w:val="26"/>
          <w:rFonts w:ascii="Times New Roman" w:hAnsi="Times New Roman"/>
        </w:rPr>
        <w:t xml:space="preserve">Buzish to‘g‘risida qaror chiqarilgan sana</w:t>
        <w:fldChar w:fldCharType="end"/>
      </w:r>
      <w:r>
        <w:rPr>
          <w:sz w:val="26"/>
          <w:rFonts w:ascii="Times New Roman" w:hAnsi="Times New Roman"/>
        </w:rPr>
        <w:t xml:space="preserve">dagi </w:t>
      </w:r>
      <w:r>
        <w:rPr>
          <w:vanish w:val="false"/>
          <w:sz w:val="26"/>
          <w:rFonts w:ascii="Times New Roman" w:hAnsi="Times New Roman"/>
        </w:rPr>
        <w:fldChar w:fldCharType="begin"/>
        <w:instrText xml:space="preserve">X {"Y":19}</w:instrText>
        <w:fldChar w:fldCharType="separate"/>
      </w:r>
      <w:r>
        <w:rPr>
          <w:vanish w:val="false"/>
          <w:sz w:val="26"/>
          <w:rFonts w:ascii="Times New Roman" w:hAnsi="Times New Roman"/>
        </w:rPr>
        <w:t xml:space="preserve"> Buzish to‘g‘risida chiqarilgan qaror raqami</w:t>
        <w:fldChar w:fldCharType="end"/>
      </w:r>
      <w:r>
        <w:rPr>
          <w:sz w:val="26"/>
          <w:rFonts w:ascii="Times New Roman" w:hAnsi="Times New Roman"/>
        </w:rPr>
        <w:t xml:space="preserve">-sonli qaroriga asosan davlat va jamoat ehtiyojlari uchun buzilishga tushgan. </w:t>
      </w:r>
    </w:p>
    <w:p>
      <w:pPr>
        <w:jc w:val="both"/>
        <w:ind w:firstLine="709"/>
        <w:spacing w:after="0" w:line="240" w:lineRule="auto"/>
        <w:rPr>
          <w:sz w:val="26"/>
          <w:rFonts w:ascii="Times New Roman" w:hAnsi="Times New Roman"/>
        </w:rPr>
      </w:pPr>
      <w:r>
        <w:rPr>
          <w:sz w:val="26"/>
          <w:rFonts w:ascii="Times New Roman" w:hAnsi="Times New Roman"/>
        </w:rPr>
        <w:t xml:space="preserve">Buzilishga tushgan yer uchastkasi va bino-inshoatlarimim </w:t>
      </w:r>
      <w:r>
        <w:rPr>
          <w:sz w:val="26"/>
          <w:rFonts w:ascii="Times New Roman" w:hAnsi="Times New Roman"/>
        </w:rPr>
        <w:fldChar w:fldCharType="begin"/>
        <w:instrText xml:space="preserve">X {"Y":20}</w:instrText>
        <w:fldChar w:fldCharType="separate"/>
      </w:r>
      <w:r>
        <w:rPr>
          <w:sz w:val="26"/>
          <w:rFonts w:ascii="Times New Roman" w:hAnsi="Times New Roman"/>
        </w:rPr>
        <w:t xml:space="preserve">Buzilishga tushgan yer uchastkasi va bino-inshoatlarni baholagan tashkilot nomi</w:t>
        <w:fldChar w:fldCharType="end"/>
      </w:r>
      <w:r>
        <w:rPr>
          <w:sz w:val="26"/>
          <w:rFonts w:ascii="Times New Roman" w:hAnsi="Times New Roman"/>
        </w:rPr>
        <w:t xml:space="preserve"> tashkiloti tomonidan </w:t>
      </w:r>
      <w:r>
        <w:rPr>
          <w:vanish w:val="false"/>
          <w:sz w:val="26"/>
          <w:rFonts w:ascii="Times New Roman" w:hAnsi="Times New Roman"/>
        </w:rPr>
        <w:fldChar w:fldCharType="begin"/>
        <w:instrText xml:space="preserve">X {"Y":21}</w:instrText>
        <w:fldChar w:fldCharType="separate"/>
      </w:r>
      <w:r>
        <w:rPr>
          <w:vanish w:val="false"/>
          <w:sz w:val="26"/>
          <w:rFonts w:ascii="Times New Roman" w:hAnsi="Times New Roman"/>
        </w:rPr>
        <w:t xml:space="preserve">Baholash o‘tkazilgan sana</w:t>
        <w:fldChar w:fldCharType="end"/>
      </w:r>
      <w:r>
        <w:rPr>
          <w:sz w:val="26"/>
          <w:rFonts w:ascii="Times New Roman" w:hAnsi="Times New Roman"/>
        </w:rPr>
        <w:t xml:space="preserve">da </w:t>
      </w:r>
      <w:r>
        <w:rPr>
          <w:vanish w:val="false"/>
          <w:sz w:val="26"/>
          <w:rFonts w:ascii="Times New Roman" w:hAnsi="Times New Roman"/>
        </w:rPr>
        <w:fldChar w:fldCharType="begin"/>
        <w:instrText xml:space="preserve">X {"Y":22}</w:instrText>
        <w:fldChar w:fldCharType="separate"/>
      </w:r>
      <w:r>
        <w:rPr>
          <w:vanish w:val="false"/>
          <w:sz w:val="26"/>
          <w:rFonts w:ascii="Times New Roman" w:hAnsi="Times New Roman"/>
        </w:rPr>
        <w:t xml:space="preserve">Baholash natijasiga ko‘ra yer uchastkasi va bino-inshoatlarning qiymati</w:t>
        <w:fldChar w:fldCharType="end"/>
      </w:r>
      <w:r>
        <w:rPr>
          <w:sz w:val="26"/>
          <w:rFonts w:ascii="Times New Roman" w:hAnsi="Times New Roman"/>
        </w:rPr>
        <w:t xml:space="preserve">so‘mga baholangan.</w:t>
      </w:r>
    </w:p>
    <w:p>
      <w:pPr>
        <w:jc w:val="both"/>
        <w:ind w:firstLine="709"/>
        <w:spacing w:after="0" w:line="240" w:lineRule="auto"/>
        <w:rPr>
          <w:sz w:val="26"/>
          <w:rFonts w:ascii="Times New Roman" w:hAnsi="Times New Roman"/>
        </w:rPr>
      </w:pPr>
      <w:r>
        <w:rPr>
          <w:sz w:val="26"/>
          <w:rFonts w:ascii="Times New Roman" w:hAnsi="Times New Roman"/>
        </w:rPr>
        <w:t xml:space="preserve">Shunga muvofiq men kompensatsiya pullarini to’lab berishni so’rab bir necha marotaba Javobgarga  murojaat qildim. Biroq, hozirgi kunga qadar Javobgar tomonidan menga to‘lanishi lozim bo‘lgan kompensatsiya pullari to‘lab berilmadi.</w:t>
      </w:r>
    </w:p>
    <w:p>
      <w:pPr>
        <w:jc w:val="both"/>
        <w:ind w:firstLine="708"/>
        <w:spacing w:after="0" w:line="240" w:lineRule="auto"/>
        <w:rPr>
          <w:i/>
          <w:sz w:val="26"/>
          <w:rFonts w:ascii="Times New Roman" w:hAnsi="Times New Roman"/>
        </w:rPr>
      </w:pPr>
      <w:r>
        <w:rPr>
          <w:b/>
          <w:sz w:val="26"/>
          <w:rFonts w:ascii="Times New Roman" w:hAnsi="Times New Roman"/>
        </w:rPr>
        <w:t xml:space="preserve">Fuqarolik kodeksining</w:t>
      </w:r>
      <w:r>
        <w:rPr>
          <w:sz w:val="26"/>
          <w:rFonts w:ascii="Times New Roman" w:hAnsi="Times New Roman"/>
        </w:rPr>
        <w:t xml:space="preserve"> 206-moddasida quyidagi norma belgilab qoʻyilgan: </w:t>
      </w:r>
      <w:r>
        <w:rPr>
          <w:i/>
          <w:sz w:val="26"/>
          <w:rFonts w:ascii="Times New Roman" w:hAnsi="Times New Roman"/>
        </w:rPr>
        <w:t xml:space="preserve">“Davlat organining mulkdorning mol-mulkini olib qoʻyishga bevosita qaratilmagan qarori munosabati bilan, shu jumladan mulkdorga qarashli uy, boshqa imoratlar, inshootlar yoki ekinlar joylashgan yer uchastkasini olib qoʻyish toʻgʻrisidagi qarori munosabati bilan mulk huquqining bekor qilinishiga qonunda belgilangan hollar va tartibdagina yoʻl qoʻyiladi, bunda mulkdorga olib qoʻyilgan mol-mulkka teng qimmatli mol-mulk mulk huquqi asosida beriladi va uning koʻrgan boshqa zararlari toʻlanadi yoki mulk huquqi bekor qilinishi bilan yetkazilgan zarar toʻla hajmda toʻlanadi”.</w:t>
      </w:r>
    </w:p>
    <w:p>
      <w:pPr>
        <w:jc w:val="both"/>
        <w:ind w:firstLine="708"/>
        <w:spacing w:after="0" w:line="240" w:lineRule="auto"/>
        <w:rPr>
          <w:sz w:val="26"/>
          <w:rFonts w:ascii="Times New Roman" w:hAnsi="Times New Roman"/>
        </w:rPr>
      </w:pPr>
      <w:r>
        <w:rPr>
          <w:b/>
          <w:sz w:val="26"/>
          <w:rFonts w:ascii="Times New Roman" w:hAnsi="Times New Roman"/>
        </w:rPr>
        <w:t xml:space="preserve">Uy-joy kodeksining</w:t>
      </w:r>
      <w:r>
        <w:rPr>
          <w:sz w:val="26"/>
          <w:rFonts w:ascii="Times New Roman" w:hAnsi="Times New Roman"/>
        </w:rPr>
        <w:t xml:space="preserve"> 29-moddasida </w:t>
      </w:r>
      <w:r>
        <w:rPr>
          <w:i/>
          <w:sz w:val="26"/>
          <w:rFonts w:ascii="Times New Roman" w:hAnsi="Times New Roman"/>
        </w:rPr>
        <w:t xml:space="preserve">“Yuridik shaxsga mulk huquqi asosida tegishli boʻlgan uy, boshqa imoratlar, inshootlar, dov-daraxtlar joylashgan yer uchastkasi olib qoʻyilgan holda unga avvalgisiga teng qiymatli mol-mulk beriladi va yetkazilgan boshqa zararlar oʻrni qoplanadi yoxud davlat yoki jamoat ehtiyojlari uchun yer uchastkasi olib qoʻyilishi oqibatida yetkazilgan zarar toʻlaligicha qoplanadi” </w:t>
      </w:r>
      <w:r>
        <w:rPr>
          <w:sz w:val="26"/>
          <w:rFonts w:ascii="Times New Roman" w:hAnsi="Times New Roman"/>
        </w:rPr>
        <w:t xml:space="preserve">degan qoida belgilangan.</w:t>
      </w:r>
    </w:p>
    <w:p>
      <w:pPr>
        <w:jc w:val="both"/>
        <w:ind w:firstLine="708"/>
        <w:spacing w:after="0" w:line="240" w:lineRule="auto"/>
        <w:rPr>
          <w:sz w:val="26"/>
          <w:rFonts w:ascii="Times New Roman" w:hAnsi="Times New Roman"/>
        </w:rPr>
      </w:pPr>
      <w:r>
        <w:rPr>
          <w:b/>
          <w:sz w:val="26"/>
          <w:rFonts w:ascii="Times New Roman" w:hAnsi="Times New Roman"/>
        </w:rPr>
        <w:t xml:space="preserve">Yer kodeksining</w:t>
      </w:r>
      <w:r>
        <w:rPr>
          <w:sz w:val="26"/>
          <w:rFonts w:ascii="Times New Roman" w:hAnsi="Times New Roman"/>
        </w:rPr>
        <w:t xml:space="preserve"> 37-moddasida shunday norma mavjud: </w:t>
      </w:r>
      <w:r>
        <w:rPr>
          <w:i/>
          <w:sz w:val="26"/>
          <w:rFonts w:ascii="Times New Roman" w:hAnsi="Times New Roman"/>
        </w:rPr>
        <w:t xml:space="preserve">jismoniy va yuridik shaxslarga tegishincha meros qilib qoldiriladigan umrbod egalik qilish, doimiy egalik qilish, doimiy foydalanish, muddatli (vaqtincha) foydalanish yoki ijara huquqi asosida tegishli boʻlgan yer uchastkalarini yoki ularning qismlarini kompensatsiya evaziga jamoat ehtiyojlari uchun olib qoʻyish qonunda nazarda tutilgan tartibda amalga oshiriladi.</w:t>
      </w:r>
    </w:p>
    <w:p>
      <w:pPr>
        <w:jc w:val="both"/>
        <w:ind w:firstLine="708"/>
        <w:spacing w:after="0" w:line="240" w:lineRule="auto"/>
        <w:rPr>
          <w:sz w:val="26"/>
          <w:rFonts w:ascii="Times New Roman" w:hAnsi="Times New Roman"/>
        </w:rPr>
      </w:pPr>
      <w:r>
        <w:rPr>
          <w:sz w:val="26"/>
          <w:rFonts w:ascii="Times New Roman" w:hAnsi="Times New Roman"/>
        </w:rPr>
        <w:t xml:space="preserve">29.06.2022-yilda qabul qilingan Oʻzbekiston Respublikasining </w:t>
        <w:br/>
      </w:r>
      <w:r>
        <w:rPr>
          <w:b/>
          <w:sz w:val="26"/>
          <w:rFonts w:ascii="Times New Roman" w:hAnsi="Times New Roman"/>
        </w:rPr>
        <w:t xml:space="preserve">“Yer uchastkalarini kompensatsiya evaziga jamoat ehtiyojlari uchun olib qoʻyish tartib-taomillari oʻgʻrisida”gi Qonunning</w:t>
      </w:r>
      <w:r>
        <w:rPr>
          <w:sz w:val="26"/>
          <w:rFonts w:ascii="Times New Roman" w:hAnsi="Times New Roman"/>
        </w:rPr>
        <w:t xml:space="preserve"> 23-moddasida  Yer uchastkasi olib qoʻyilishi munosabati bilan beriladigan kompensatsiyalar belgilangan boʻlib, unga koʻra</w:t>
      </w:r>
      <w:r>
        <w:rPr>
          <w:color w:val="000000"/>
          <w:sz w:val="26"/>
          <w:rFonts w:ascii="Times New Roman" w:hAnsi="Times New Roman"/>
        </w:rPr>
        <w:t xml:space="preserve"> quyidagilar kompensatsiya qilinadi:</w:t>
      </w:r>
    </w:p>
    <w:p>
      <w:pPr>
        <w:jc w:val="both"/>
        <w:ind w:firstLine="708"/>
        <w:spacing w:after="0" w:line="240" w:lineRule="auto"/>
        <w:rPr>
          <w:i/>
          <w:color w:val="000000"/>
          <w:sz w:val="26"/>
          <w:rFonts w:ascii="Times New Roman" w:hAnsi="Times New Roman"/>
        </w:rPr>
      </w:pPr>
      <w:r>
        <w:rPr>
          <w:i/>
          <w:color w:val="000000"/>
          <w:sz w:val="26"/>
          <w:rFonts w:ascii="Times New Roman" w:hAnsi="Times New Roman"/>
        </w:rPr>
        <w:t xml:space="preserve">olib qoʻyilgan yer uchastkasida joylashgan koʻchmas mulk obyektlarining bozor qiymati;</w:t>
      </w:r>
    </w:p>
    <w:p>
      <w:pPr>
        <w:jc w:val="both"/>
        <w:ind w:firstLine="708"/>
        <w:spacing w:after="0" w:line="240" w:lineRule="auto"/>
        <w:rPr>
          <w:i/>
          <w:color w:val="000000"/>
          <w:sz w:val="26"/>
          <w:rFonts w:ascii="Times New Roman" w:hAnsi="Times New Roman"/>
        </w:rPr>
      </w:pPr>
      <w:r>
        <w:rPr>
          <w:b/>
          <w:i/>
          <w:color w:val="000000"/>
          <w:sz w:val="26"/>
          <w:rFonts w:ascii="Times New Roman" w:hAnsi="Times New Roman"/>
        </w:rPr>
        <w:t xml:space="preserve">olib qoʻyilgan yer uchastkasiga boʻlgan huquqning bozor qiymati</w:t>
      </w:r>
      <w:r>
        <w:rPr>
          <w:i/>
          <w:color w:val="000000"/>
          <w:sz w:val="26"/>
          <w:rFonts w:ascii="Times New Roman" w:hAnsi="Times New Roman"/>
        </w:rPr>
        <w:t xml:space="preserve"> (bundan qishloq xoʻjaligiga moʻljallangan yer uchastkalariga boʻlgan ijara huquqi mustasno);</w:t>
      </w:r>
    </w:p>
    <w:p>
      <w:pPr>
        <w:jc w:val="both"/>
        <w:ind w:firstLine="708"/>
        <w:spacing w:after="0" w:line="240" w:lineRule="auto"/>
        <w:rPr>
          <w:i/>
          <w:color w:val="000000"/>
          <w:sz w:val="26"/>
          <w:rFonts w:ascii="Times New Roman" w:hAnsi="Times New Roman"/>
        </w:rPr>
      </w:pPr>
      <w:r>
        <w:rPr>
          <w:b/>
          <w:i/>
          <w:color w:val="000000"/>
          <w:sz w:val="26"/>
          <w:rFonts w:ascii="Times New Roman" w:hAnsi="Times New Roman"/>
        </w:rPr>
        <w:t xml:space="preserve">olib qoʻyilgan yer uchastkasida joylashgan koʻp yillik dov-daraxtlarning bozor qiymati</w:t>
      </w:r>
      <w:r>
        <w:rPr>
          <w:i/>
          <w:color w:val="000000"/>
          <w:sz w:val="26"/>
          <w:rFonts w:ascii="Times New Roman" w:hAnsi="Times New Roman"/>
        </w:rPr>
        <w:t>;</w:t>
      </w:r>
    </w:p>
    <w:p>
      <w:pPr>
        <w:jc w:val="both"/>
        <w:ind w:firstLine="708"/>
        <w:spacing w:after="0" w:line="240" w:lineRule="auto"/>
        <w:rPr>
          <w:i/>
          <w:color w:val="000000"/>
          <w:sz w:val="26"/>
          <w:rFonts w:ascii="Times New Roman" w:hAnsi="Times New Roman"/>
        </w:rPr>
      </w:pPr>
      <w:r>
        <w:rPr>
          <w:i/>
          <w:color w:val="000000"/>
          <w:sz w:val="26"/>
          <w:rFonts w:ascii="Times New Roman" w:hAnsi="Times New Roman"/>
        </w:rPr>
        <w:t xml:space="preserve">koʻchish, shu jumladan boshqa koʻchmas mulk obyektini vaqtinchalik ijaraga olish bilan bogʻliq xarajatlar;</w:t>
      </w:r>
    </w:p>
    <w:p>
      <w:pPr>
        <w:jc w:val="both"/>
        <w:ind w:firstLine="708"/>
        <w:spacing w:after="0" w:line="240" w:lineRule="auto"/>
        <w:rPr>
          <w:i/>
          <w:color w:val="000000"/>
          <w:sz w:val="26"/>
          <w:rFonts w:ascii="Times New Roman" w:hAnsi="Times New Roman"/>
        </w:rPr>
      </w:pPr>
      <w:r>
        <w:rPr>
          <w:i/>
          <w:color w:val="000000"/>
          <w:sz w:val="26"/>
          <w:rFonts w:ascii="Times New Roman" w:hAnsi="Times New Roman"/>
        </w:rPr>
        <w:t xml:space="preserve">yer uchastkasidan va unda joylashgan koʻchmas mulk obyektlaridan foydalanishdan olinishi mumkin boʻlgan boy berilgan foyda (bunda yer uchastkasi va unda joylashgan koʻchmas mulk obyektlari boʻshatib qoʻyilgan paytdan eʼtiboran avvalgi faoliyatni tiklashga qadar boʻlgan, biroq bir yildan ortiq boʻlmagan muddatdagi foyda yoki mavsumiy hosildan olinishi mumkin boʻlgan foyda hisobga olinadi);</w:t>
      </w:r>
    </w:p>
    <w:p>
      <w:pPr>
        <w:jc w:val="both"/>
        <w:ind w:firstLine="708"/>
        <w:spacing w:after="0" w:line="240" w:lineRule="auto"/>
        <w:rPr>
          <w:i/>
          <w:color w:val="000000"/>
          <w:sz w:val="26"/>
          <w:rFonts w:ascii="Times New Roman" w:hAnsi="Times New Roman"/>
        </w:rPr>
      </w:pPr>
      <w:r>
        <w:rPr>
          <w:i/>
          <w:color w:val="000000"/>
          <w:sz w:val="26"/>
          <w:rFonts w:ascii="Times New Roman" w:hAnsi="Times New Roman"/>
        </w:rPr>
        <w:t xml:space="preserve">huquq egasining qonunchilikda yoki kelishuvda nazarda tutilgan boshqa xarajatlari va zararlari.</w:t>
      </w:r>
    </w:p>
    <w:p>
      <w:pPr>
        <w:jc w:val="both"/>
        <w:ind w:firstLine="708"/>
        <w:spacing w:after="0" w:line="240" w:lineRule="auto"/>
        <w:rPr>
          <w:i/>
          <w:color w:val="000000"/>
          <w:sz w:val="26"/>
          <w:rFonts w:ascii="Times New Roman" w:hAnsi="Times New Roman"/>
        </w:rPr>
      </w:pPr>
      <w:r>
        <w:rPr>
          <w:i/>
          <w:color w:val="000000"/>
          <w:sz w:val="26"/>
          <w:rFonts w:ascii="Times New Roman" w:hAnsi="Times New Roman"/>
        </w:rPr>
        <w:t xml:space="preserve">Yer uchastkasi olib qoʻyilganligi munosabati bilan huquq egasiga noqulayliklar keltirib chiqarilganligi uchun kompensatsiya sifatida yer uchastkasida joylashgan koʻchmas mulk bozor qiymatining besh foizi miqdorida bir martalik toʻlov amalga oshiriladi.</w:t>
      </w:r>
    </w:p>
    <w:p>
      <w:pPr>
        <w:jc w:val="both"/>
        <w:ind w:firstLine="708"/>
        <w:spacing w:after="0" w:line="240" w:lineRule="auto"/>
        <w:rPr>
          <w:sz w:val="26"/>
          <w:rFonts w:ascii="Times New Roman" w:hAnsi="Times New Roman"/>
        </w:rPr>
      </w:pPr>
      <w:r>
        <w:rPr>
          <w:sz w:val="26"/>
          <w:rFonts w:ascii="Times New Roman" w:hAnsi="Times New Roman"/>
        </w:rPr>
        <w:t xml:space="preserve">Qonunning 24-moddasida byeriladigan kompensatsiya turlari va manbalari koʻrsatilgan. </w:t>
      </w:r>
      <w:r>
        <w:rPr>
          <w:color w:val="000000"/>
          <w:sz w:val="26"/>
          <w:rFonts w:ascii="Times New Roman" w:hAnsi="Times New Roman"/>
        </w:rPr>
        <w:t xml:space="preserve">Beriladigan kompensatsiya turlari quyidagilardan iborat:</w:t>
      </w:r>
    </w:p>
    <w:p>
      <w:pPr>
        <w:jc w:val="both"/>
        <w:ind w:firstLine="708"/>
        <w:spacing w:after="0" w:line="240" w:lineRule="auto"/>
        <w:rPr>
          <w:i/>
          <w:color w:val="000000"/>
          <w:sz w:val="26"/>
          <w:rFonts w:ascii="Times New Roman" w:hAnsi="Times New Roman"/>
        </w:rPr>
      </w:pPr>
      <w:r>
        <w:rPr>
          <w:b/>
          <w:i/>
          <w:color w:val="000000"/>
          <w:sz w:val="26"/>
          <w:rFonts w:ascii="Times New Roman" w:hAnsi="Times New Roman"/>
        </w:rPr>
        <w:t xml:space="preserve">pul mablagʻlari</w:t>
      </w:r>
      <w:r>
        <w:rPr>
          <w:i/>
          <w:color w:val="000000"/>
          <w:sz w:val="26"/>
          <w:rFonts w:ascii="Times New Roman" w:hAnsi="Times New Roman"/>
        </w:rPr>
        <w:t xml:space="preserve">, shu jumladan turar joylarni va yashash uchun moʻljallanmagan joylarni vaqtinchalik ijaraga olish uchun pul mablagʻlari;</w:t>
      </w:r>
    </w:p>
    <w:p>
      <w:pPr>
        <w:jc w:val="both"/>
        <w:ind w:firstLine="708"/>
        <w:spacing w:after="0" w:line="240" w:lineRule="auto"/>
        <w:rPr>
          <w:i/>
          <w:color w:val="000000"/>
          <w:sz w:val="26"/>
          <w:rFonts w:ascii="Times New Roman" w:hAnsi="Times New Roman"/>
        </w:rPr>
      </w:pPr>
      <w:r>
        <w:rPr>
          <w:i/>
          <w:color w:val="000000"/>
          <w:sz w:val="26"/>
          <w:rFonts w:ascii="Times New Roman" w:hAnsi="Times New Roman"/>
        </w:rPr>
        <w:t xml:space="preserve">boshqa koʻchmas mulk obyektini mulk qilib berish;</w:t>
      </w:r>
    </w:p>
    <w:p>
      <w:pPr>
        <w:jc w:val="both"/>
        <w:ind w:firstLine="708"/>
        <w:spacing w:after="0" w:line="240" w:lineRule="auto"/>
        <w:rPr>
          <w:i/>
          <w:color w:val="000000"/>
          <w:sz w:val="26"/>
          <w:rFonts w:ascii="Times New Roman" w:hAnsi="Times New Roman"/>
        </w:rPr>
      </w:pPr>
      <w:r>
        <w:rPr>
          <w:i/>
          <w:color w:val="000000"/>
          <w:sz w:val="26"/>
          <w:rFonts w:ascii="Times New Roman" w:hAnsi="Times New Roman"/>
        </w:rPr>
        <w:t xml:space="preserve">kelishuvda nazarda tutilgan kompensatsiyaning boshqa turlari.</w:t>
      </w:r>
    </w:p>
    <w:p>
      <w:pPr>
        <w:jc w:val="both"/>
        <w:ind w:firstLine="708"/>
        <w:spacing w:after="0" w:line="240" w:lineRule="auto"/>
        <w:rPr>
          <w:i/>
          <w:color w:val="000000"/>
          <w:sz w:val="26"/>
          <w:rFonts w:ascii="Times New Roman" w:hAnsi="Times New Roman"/>
        </w:rPr>
      </w:pPr>
      <w:r>
        <w:rPr>
          <w:i/>
          <w:color w:val="000000"/>
          <w:sz w:val="26"/>
          <w:rFonts w:ascii="Times New Roman" w:hAnsi="Times New Roman"/>
        </w:rPr>
        <w:t xml:space="preserve">Taraflarning kelishuviga koʻra huquq egasiga koʻchmas mulk obyektlarining baholash qiymati hisobga olingan holda kompensatsiyaning bir necha turlari berilishi mumkin.</w:t>
      </w:r>
    </w:p>
    <w:p>
      <w:pPr>
        <w:jc w:val="both"/>
        <w:ind w:firstLine="708"/>
        <w:spacing w:after="0" w:line="240" w:lineRule="auto"/>
        <w:rPr>
          <w:sz w:val="26"/>
          <w:rFonts w:ascii="Times New Roman" w:hAnsi="Times New Roman"/>
        </w:rPr>
      </w:pPr>
      <w:r>
        <w:rPr>
          <w:sz w:val="26"/>
          <w:rFonts w:ascii="Times New Roman" w:hAnsi="Times New Roman"/>
        </w:rPr>
        <w:t xml:space="preserve">Yuqorida keltirilgan maʼlumotlarga asoslangan holda hamda Oʻzbekiston Respublikasi Fuqarolik protsessual kodeksining 188-191-moddalariga, Fuqarolik kodeksining 206-moddasi, Uy-joy kodeksining 29-moddasi, Yer kodeksining </w:t>
        <w:br/>
        <w:t xml:space="preserve">37-moddasi, Oʻzbekiston Respublikasining “Yer uchastkalarini kompensatsiya evaziga jamoat ehtiyojlari uchun olib qoʻyish tartib-taomillari toʻgʻrisida”gi Qonunning 23-24-moddalariga asosan, Suddan </w:t>
      </w:r>
    </w:p>
    <w:p>
      <w:pPr>
        <w:jc w:val="center"/>
        <w:ind w:firstLine="708"/>
        <w:spacing w:after="0" w:line="240" w:lineRule="auto"/>
        <w:rPr>
          <w:b/>
          <w:sz w:val="26"/>
          <w:rFonts w:ascii="Times New Roman" w:hAnsi="Times New Roman"/>
        </w:rPr>
      </w:pPr>
      <w:r>
        <w:rPr>
          <w:b/>
          <w:sz w:val="26"/>
          <w:rFonts w:ascii="Times New Roman" w:hAnsi="Times New Roman"/>
        </w:rPr>
        <w:t xml:space="preserve">S Oʻ R A Y M I Z:</w:t>
      </w:r>
    </w:p>
    <w:p>
      <w:pPr>
        <w:jc w:val="both"/>
        <w:ind w:firstLine="708"/>
        <w:spacing w:after="0" w:line="240" w:lineRule="auto"/>
        <w:rPr>
          <w:b/>
          <w:sz w:val="26"/>
          <w:rFonts w:ascii="Times New Roman" w:hAnsi="Times New Roman"/>
        </w:rPr>
      </w:pPr>
      <w:r>
        <w:rPr>
          <w:b/>
          <w:sz w:val="26"/>
          <w:rFonts w:ascii="Times New Roman" w:hAnsi="Times New Roman"/>
        </w:rPr>
        <w:t>1</w:t>
      </w:r>
      <w:r>
        <w:rPr>
          <w:sz w:val="26"/>
          <w:rFonts w:ascii="Times New Roman" w:hAnsi="Times New Roman"/>
        </w:rPr>
        <w:t>.</w:t>
      </w:r>
      <w:r>
        <w:rPr>
          <w:b/>
          <w:sz w:val="26"/>
          <w:rFonts w:ascii="Times New Roman" w:hAnsi="Times New Roman"/>
        </w:rPr>
        <w:t xml:space="preserve"> </w:t>
      </w:r>
      <w:r>
        <w:rPr>
          <w:sz w:val="26"/>
          <w:rFonts w:ascii="Times New Roman" w:hAnsi="Times New Roman"/>
        </w:rPr>
        <w:t xml:space="preserve">Daʼvo arizasini ish yurituviga qabul qilishingizni.</w:t>
      </w:r>
    </w:p>
    <w:p>
      <w:pPr>
        <w:jc w:val="both"/>
        <w:ind w:firstLine="708"/>
        <w:spacing w:after="0" w:line="240" w:lineRule="auto"/>
        <w:rPr>
          <w:b/>
          <w:sz w:val="26"/>
        </w:rPr>
      </w:pPr>
      <w:r>
        <w:rPr>
          <w:b/>
          <w:sz w:val="26"/>
          <w:rFonts w:ascii="Times New Roman" w:hAnsi="Times New Roman"/>
        </w:rPr>
        <w:t>2</w:t>
      </w:r>
      <w:r>
        <w:rPr>
          <w:sz w:val="26"/>
          <w:rFonts w:ascii="Times New Roman" w:hAnsi="Times New Roman"/>
        </w:rPr>
        <w:t xml:space="preserve">. Da’vogar </w:t>
      </w:r>
      <w:r>
        <w:rPr>
          <w:vanish w:val="false"/>
          <w:sz w:val="26"/>
          <w:rFonts w:ascii="Times New Roman" w:hAnsi="Times New Roman"/>
        </w:rPr>
        <w:fldChar w:fldCharType="begin"/>
        <w:instrText xml:space="preserve">X {"Y":4}</w:instrText>
        <w:fldChar w:fldCharType="separate"/>
      </w:r>
      <w:r>
        <w:rPr>
          <w:vanish w:val="false"/>
          <w:sz w:val="26"/>
          <w:rFonts w:ascii="Times New Roman" w:hAnsi="Times New Roman"/>
        </w:rPr>
        <w:t xml:space="preserve">Da’vogarning F.I.O. si</w:t>
        <w:fldChar w:fldCharType="end"/>
      </w:r>
      <w:r>
        <w:rPr>
          <w:sz w:val="26"/>
          <w:rFonts w:ascii="Times New Roman" w:hAnsi="Times New Roman"/>
        </w:rPr>
        <w:t xml:space="preserve">ga tegishli boʻlgan yer uchastkasi va unda joylashgan bino-inshootlar, dov-daraxtlarning davlat va jamoat ehtiyojlari uchun olib qoʻyilishi munosabati bilan Da’vogarga baholash hisobotida keltirilgan </w:t>
      </w:r>
      <w:r>
        <w:rPr>
          <w:vanish w:val="false"/>
          <w:sz w:val="26"/>
          <w:rFonts w:ascii="Times New Roman" w:hAnsi="Times New Roman"/>
        </w:rPr>
        <w:fldChar w:fldCharType="begin"/>
        <w:instrText xml:space="preserve">X {"Y":22}</w:instrText>
        <w:fldChar w:fldCharType="separate"/>
      </w:r>
      <w:r>
        <w:rPr>
          <w:vanish w:val="false"/>
          <w:sz w:val="26"/>
          <w:rFonts w:ascii="Times New Roman" w:hAnsi="Times New Roman"/>
        </w:rPr>
        <w:t xml:space="preserve">Baholash natijasiga ko‘ra yer uchastkasi va bino-inshoatlarning qiymati</w:t>
        <w:fldChar w:fldCharType="end"/>
      </w:r>
      <w:r>
        <w:rPr>
          <w:sz w:val="26"/>
          <w:rFonts w:ascii="Times New Roman" w:hAnsi="Times New Roman"/>
        </w:rPr>
        <w:t xml:space="preserve"> soʻm kompensatsiya undirib berishingizni. </w:t>
      </w:r>
    </w:p>
    <w:p>
      <w:pPr>
        <w:jc w:val="both"/>
        <w:ind w:firstLine="708"/>
        <w:spacing w:after="0" w:line="240" w:lineRule="auto"/>
        <w:rPr>
          <w:sz w:val="26"/>
          <w:rFonts w:ascii="Times New Roman" w:hAnsi="Times New Roman"/>
        </w:rPr>
      </w:pPr>
      <w:r>
        <w:rPr>
          <w:b/>
          <w:sz w:val="26"/>
          <w:rFonts w:ascii="Times New Roman" w:hAnsi="Times New Roman"/>
        </w:rPr>
        <w:t>3</w:t>
      </w:r>
      <w:r>
        <w:rPr>
          <w:sz w:val="26"/>
          <w:rFonts w:ascii="Times New Roman" w:hAnsi="Times New Roman"/>
        </w:rPr>
        <w:t xml:space="preserve">. Sud xarajatlarini javobgardan undirib berishingizni. </w:t>
      </w:r>
    </w:p>
    <w:p>
      <w:pPr>
        <w:jc w:val="both"/>
        <w:ind w:firstLine="708"/>
        <w:spacing w:after="0" w:line="240" w:lineRule="auto"/>
        <w:rPr>
          <w:b/>
          <w:sz w:val="26"/>
          <w:rFonts w:ascii="Times New Roman" w:hAnsi="Times New Roman"/>
        </w:rPr>
      </w:pPr>
    </w:p>
    <w:p>
      <w:pPr>
        <w:jc w:val="both"/>
        <w:ind w:firstLine="708"/>
        <w:spacing w:after="0" w:line="240" w:lineRule="auto"/>
        <w:rPr>
          <w:b/>
          <w:sz w:val="26"/>
          <w:rFonts w:ascii="Times New Roman" w:hAnsi="Times New Roman"/>
        </w:rPr>
      </w:pPr>
      <w:r>
        <w:rPr>
          <w:b/>
          <w:sz w:val="26"/>
          <w:rFonts w:ascii="Times New Roman" w:hAnsi="Times New Roman"/>
        </w:rPr>
        <w:t>Ilovalar:</w:t>
      </w:r>
    </w:p>
    <w:p>
      <w:pPr>
        <w:jc w:val="both"/>
        <w:ind w:firstLine="706"/>
        <w:spacing w:after="0" w:line="240" w:lineRule="auto"/>
        <w:rPr>
          <w:b/>
          <w:i/>
          <w:sz w:val="18"/>
          <w:rFonts w:ascii="Times New Roman" w:hAnsi="Times New Roman"/>
        </w:rPr>
      </w:pPr>
      <w:r>
        <w:rPr>
          <w:b/>
          <w:i/>
          <w:sz w:val="18"/>
          <w:rFonts w:ascii="Times New Roman" w:hAnsi="Times New Roman"/>
        </w:rPr>
        <w:t xml:space="preserve">1.Shaxsni tasdiqlovchi hujjat nusxasi;</w:t>
      </w:r>
    </w:p>
    <w:p>
      <w:pPr>
        <w:jc w:val="both"/>
        <w:ind w:firstLine="706"/>
        <w:spacing w:after="0" w:line="240" w:lineRule="auto"/>
        <w:rPr>
          <w:b/>
          <w:i/>
          <w:sz w:val="18"/>
          <w:rFonts w:ascii="Times New Roman" w:hAnsi="Times New Roman"/>
        </w:rPr>
      </w:pPr>
      <w:r>
        <w:rPr>
          <w:b/>
          <w:i/>
          <w:sz w:val="18"/>
          <w:rFonts w:ascii="Times New Roman" w:hAnsi="Times New Roman"/>
        </w:rPr>
        <w:t xml:space="preserve">2.Baholash hisobotidan nusxa;</w:t>
      </w:r>
    </w:p>
    <w:p>
      <w:pPr>
        <w:jc w:val="both"/>
        <w:ind w:firstLine="706"/>
        <w:spacing w:after="0" w:line="240" w:lineRule="auto"/>
        <w:rPr>
          <w:b/>
          <w:i/>
          <w:sz w:val="18"/>
          <w:rFonts w:ascii="Times New Roman" w:hAnsi="Times New Roman"/>
        </w:rPr>
      </w:pPr>
      <w:r>
        <w:rPr>
          <w:b/>
          <w:i/>
          <w:sz w:val="18"/>
          <w:rFonts w:ascii="Times New Roman" w:hAnsi="Times New Roman"/>
        </w:rPr>
        <w:t xml:space="preserve">3. Davlat boji va pochta harajatlari to‘langanligi kvitansiyasi;</w:t>
      </w:r>
    </w:p>
    <w:p>
      <w:pPr>
        <w:jc w:val="both"/>
        <w:ind w:firstLine="706"/>
        <w:spacing w:after="0" w:line="240" w:lineRule="auto"/>
        <w:rPr>
          <w:b/>
          <w:i/>
          <w:sz w:val="18"/>
          <w:rFonts w:ascii="Times New Roman" w:hAnsi="Times New Roman"/>
        </w:rPr>
      </w:pPr>
      <w:r>
        <w:rPr>
          <w:b/>
          <w:i/>
          <w:sz w:val="18"/>
          <w:rFonts w:ascii="Times New Roman" w:hAnsi="Times New Roman"/>
        </w:rPr>
        <w:t xml:space="preserve">4. Kadastr hujjati nusxasi;</w:t>
      </w:r>
    </w:p>
    <w:p>
      <w:pPr>
        <w:jc w:val="both"/>
        <w:ind w:firstLine="706"/>
        <w:spacing w:after="0" w:line="240" w:lineRule="auto"/>
        <w:rPr>
          <w:sz w:val="26"/>
          <w:rFonts w:ascii="Times New Roman" w:hAnsi="Times New Roman"/>
        </w:rPr>
      </w:pPr>
      <w:r>
        <w:rPr>
          <w:b/>
          <w:i/>
          <w:sz w:val="18"/>
          <w:rFonts w:ascii="Times New Roman" w:hAnsi="Times New Roman"/>
        </w:rPr>
        <w:t xml:space="preserve">6. Shartnoma va to‘lov topshiriqnoma.</w:t>
      </w:r>
    </w:p>
    <w:p>
      <w:pPr>
        <w:jc w:val="both"/>
        <w:ind w:firstLine="706"/>
        <w:spacing w:after="0" w:line="240" w:lineRule="auto"/>
        <w:rPr>
          <w:sz w:val="26"/>
          <w:rFonts w:ascii="Times New Roman" w:hAnsi="Times New Roman"/>
        </w:rPr>
      </w:pPr>
    </w:p>
    <w:p>
      <w:pPr>
        <w:jc w:val="both"/>
        <w:ind w:firstLine="706"/>
        <w:spacing w:after="0" w:line="240" w:lineRule="auto"/>
        <w:rPr>
          <w:sz w:val="26"/>
          <w:rFonts w:ascii="Times New Roman" w:hAnsi="Times New Roman"/>
        </w:rPr>
      </w:pPr>
    </w:p>
    <w:p>
      <w:pPr>
        <w:jc w:val="both"/>
        <w:ind w:firstLine="706"/>
        <w:spacing w:after="0" w:line="240" w:lineRule="auto"/>
        <w:rPr>
          <w:i/>
          <w:sz w:val="26"/>
          <w:rFonts w:ascii="Times New Roman" w:hAnsi="Times New Roman"/>
        </w:rPr>
      </w:pPr>
      <w:r>
        <w:rPr>
          <w:i/>
          <w:sz w:val="26"/>
          <w:rFonts w:ascii="Times New Roman" w:hAnsi="Times New Roman"/>
        </w:rPr>
        <w:t xml:space="preserve">Ariza sanasi: </w:t>
      </w:r>
      <w:r>
        <w:rPr>
          <w:i/>
          <w:vanish w:val="false"/>
          <w:sz w:val="26"/>
          <w:rFonts w:ascii="Times New Roman" w:hAnsi="Times New Roman"/>
        </w:rPr>
        <w:fldChar w:fldCharType="begin"/>
        <w:instrText xml:space="preserve">X {"Y":3}</w:instrText>
        <w:fldChar w:fldCharType="separate"/>
      </w:r>
      <w:r>
        <w:rPr>
          <w:i/>
          <w:vanish w:val="false"/>
          <w:sz w:val="26"/>
          <w:rFonts w:ascii="Times New Roman" w:hAnsi="Times New Roman"/>
        </w:rPr>
        <w:t xml:space="preserve">Da‘vo arizasi berilgan sana</w:t>
        <w:fldChar w:fldCharType="end"/>
      </w:r>
    </w:p>
    <w:p>
      <w:pPr>
        <w:jc w:val="both"/>
        <w:ind w:firstLine="706"/>
        <w:spacing w:after="0" w:line="240" w:lineRule="auto"/>
        <w:rPr>
          <w:sz w:val="26"/>
          <w:rFonts w:ascii="Times New Roman" w:hAnsi="Times New Roman"/>
        </w:rPr>
      </w:pPr>
      <w:r>
        <w:rPr>
          <w:sz w:val="26"/>
          <w:rFonts w:ascii="Times New Roman" w:hAnsi="Times New Roman"/>
        </w:rPr>
        <w:t xml:space="preserve">        </w:t>
      </w:r>
    </w:p>
    <w:sectPr>
      <w:type w:val="continuous"/>
      <w:pgSz w:w="11906" w:h="16838"/>
      <w:pgMar w:left="1701" w:right="567" w:top="567" w:bottom="567" w:header="709" w:footer="437"/>
      <w:footerReference r:id="rId4" w:type="default"/>
      <w:titlePg w:val="tru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30B" w:rsidRPr="00C106DC" w:rsidRDefault="007641B0" w:rsidP="00C106DC">
    <w:pPr>
      <w:pStyle w:val="a3"/>
      <w:jc w:val="right"/>
      <w:rPr>
        <w:rFonts w:ascii="Times New Roman" w:hAnsi="Times New Roman"/>
        <w:bCs/>
        <w:sz w:val="20"/>
        <w:szCs w:val="20"/>
      </w:rPr>
    </w:pPr>
    <w:r w:rsidRPr="00C106DC">
      <w:rPr>
        <w:rFonts w:ascii="Times New Roman" w:hAnsi="Times New Roman"/>
        <w:bCs/>
        <w:sz w:val="20"/>
        <w:szCs w:val="20"/>
      </w:rPr>
      <w:fldChar w:fldCharType="begin"/>
    </w:r>
    <w:r w:rsidRPr="00C106DC">
      <w:rPr>
        <w:rFonts w:ascii="Times New Roman" w:hAnsi="Times New Roman"/>
        <w:bCs/>
        <w:sz w:val="20"/>
        <w:szCs w:val="20"/>
      </w:rPr>
      <w:instrText xml:space="preserve"> PAGE   \* MERGEFORMAT </w:instrText>
    </w:r>
    <w:r w:rsidRPr="00C106DC">
      <w:rPr>
        <w:rFonts w:ascii="Times New Roman" w:hAnsi="Times New Roman"/>
        <w:bCs/>
        <w:sz w:val="20"/>
        <w:szCs w:val="20"/>
      </w:rPr>
      <w:fldChar w:fldCharType="separate"/>
    </w:r>
    <w:r>
      <w:rPr>
        <w:rFonts w:ascii="Times New Roman" w:hAnsi="Times New Roman"/>
        <w:bCs/>
        <w:noProof/>
        <w:sz w:val="20"/>
        <w:szCs w:val="20"/>
      </w:rPr>
      <w:t>3</w:t>
    </w:r>
    <w:r w:rsidRPr="00C106DC">
      <w:rPr>
        <w:rFonts w:ascii="Times New Roman" w:hAnsi="Times New Roman"/>
        <w:bCs/>
        <w:noProof/>
        <w:sz w:val="20"/>
        <w:szCs w:val="20"/>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AAF"/>
    <w:rsid w:val="000B30D9"/>
    <w:rsid w:val="00752E69"/>
    <w:rsid w:val="007641B0"/>
    <w:rsid w:val="00E70A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9F4725-2518-414E-A49C-FDC33F108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41B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7641B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7641B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1035</Words>
  <Characters>5905</Characters>
  <Application>Microsoft Office Word</Application>
  <DocSecurity>0</DocSecurity>
  <Lines>49</Lines>
  <Paragraphs>13</Paragraphs>
  <ScaleCrop>false</ScaleCrop>
  <Company/>
  <LinksUpToDate>false</LinksUpToDate>
  <CharactersWithSpaces>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2</cp:revision>
  <dcterms:created xsi:type="dcterms:W3CDTF">2025-04-25T04:27:00Z</dcterms:created>
  <dcterms:modified xsi:type="dcterms:W3CDTF">2025-04-25T04:27:00Z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Taraflarning rekvizitlari</w:name>
    <w:value w:hidden="true">
      <w:unit w:active="false"/>
    </w:value>
  </w:element>
  <w:element w:id="2" w:kind="variable" w:type="string" w:valueMode="normal" w:required="false" w:groupID="1">
    <w:identifier xml:space="preserve">ID2</w:identifier>
    <w:name xml:space="preserve">Da’vo ariza berilayotgan sud joylashgan hudud nomi</w:name>
    <w:value w:hidden="false">
      <w:unit w:active="false"/>
    </w:value>
  </w:element>
  <w:element w:id="3" w:kind="variable" w:type="string" w:valueMode="normal" w:required="false" w:groupID="1">
    <w:identifier xml:space="preserve">ID3</w:identifier>
    <w:name xml:space="preserve">Da‘vo arizasi berilgan sana</w:name>
    <w:value w:hidden="false">
      <w:unit w:active="false"/>
    </w:value>
  </w:element>
  <w:element w:id="4" w:kind="variable" w:type="string" w:valueMode="normal" w:required="false" w:groupID="1">
    <w:identifier xml:space="preserve">ID4</w:identifier>
    <w:name xml:space="preserve">Da’vogarning F.I.O. si</w:name>
    <w:value w:hidden="false">
      <w:unit w:active="false"/>
    </w:value>
  </w:element>
  <w:element w:id="5" w:kind="variable" w:type="string" w:valueMode="normal" w:required="false" w:groupID="1">
    <w:identifier xml:space="preserve">ID5</w:identifier>
    <w:name xml:space="preserve">Da’vogarning doimiy yashash manzili</w:name>
    <w:value w:hidden="false">
      <w:unit w:active="false"/>
    </w:value>
  </w:element>
  <w:element w:id="6" w:kind="variable" w:type="string" w:valueMode="normal" w:required="false" w:groupID="1">
    <w:identifier xml:space="preserve">ID6</w:identifier>
    <w:name xml:space="preserve">Da’vogar bilan bog‘lanish uchun telefon raqami</w:name>
    <w:value w:hidden="false">
      <w:unit w:active="false"/>
    </w:value>
  </w:element>
  <w:element w:id="7" w:kind="variable" w:type="string" w:valueMode="normal" w:required="false" w:groupID="1">
    <w:identifier xml:space="preserve">ID7</w:identifier>
    <w:name xml:space="preserve">Javobgar tashkilotning nomi</w:name>
    <w:value w:hidden="false">
      <w:unit w:active="false"/>
    </w:value>
  </w:element>
  <w:element w:id="8" w:kind="variable" w:type="string" w:valueMode="normal" w:required="false" w:groupID="1">
    <w:identifier xml:space="preserve">ID8</w:identifier>
    <w:name xml:space="preserve">Javobgar tashkilotning manzili</w:name>
    <w:value w:hidden="false">
      <w:unit w:active="false"/>
    </w:value>
  </w:element>
  <w:element w:id="9" w:kind="variable" w:type="string" w:valueMode="normal" w:required="false" w:groupID="1">
    <w:identifier xml:space="preserve">ID9</w:identifier>
    <w:name xml:space="preserve">Javobgar tashkilotning STIR raqami</w:name>
    <w:value w:hidden="false">
      <w:unit w:active="false"/>
    </w:value>
  </w:element>
  <w:element w:id="10" w:kind="variable" w:type="string" w:valueMode="normal" w:required="false" w:groupID="1">
    <w:identifier xml:space="preserve">ID10</w:identifier>
    <w:name xml:space="preserve">Javobgar tashkilot bilan bog‘lanish uchun telfon raqami</w:name>
    <w:value w:hidden="false">
      <w:unit w:active="false"/>
    </w:value>
  </w:element>
  <w:element w:id="11" w:kind="category" w:type="string" w:valueMode="normal" w:required="false" w:groupID="11">
    <w:identifier xml:space="preserve">ID11</w:identifier>
    <w:name xml:space="preserve">Da’vo ariza mazmuni</w:name>
    <w:value w:hidden="true">
      <w:unit w:active="false"/>
    </w:value>
  </w:element>
  <w:element w:id="12" w:kind="variable" w:type="string" w:valueMode="normal" w:required="false" w:groupID="11">
    <w:identifier xml:space="preserve">ID12</w:identifier>
    <w:name xml:space="preserve">Buzilishga tushgan yer uchastkasi joylashgan manzil</w:name>
    <w:value w:hidden="false">
      <w:unit w:active="false"/>
    </w:value>
  </w:element>
  <w:element w:id="13" w:kind="variable" w:type="string" w:valueMode="normal" w:required="false" w:groupID="11">
    <w:identifier xml:space="preserve">ID13</w:identifier>
    <w:name xml:space="preserve">Buzilishga tushgan yer uchastkasining kadastr raqami</w:name>
    <w:value w:hidden="false">
      <w:unit w:active="false"/>
    </w:value>
  </w:element>
  <w:element w:id="14" w:kind="variable" w:type="string" w:valueMode="normal" w:required="false" w:groupID="11">
    <w:identifier xml:space="preserve">ID14</w:identifier>
    <w:name xml:space="preserve">Buzilishga tushgan yer uchastkasining hajmi</w:name>
    <w:value w:hidden="false">
      <w:unit w:active="false"/>
    </w:value>
  </w:element>
  <w:element w:id="15" w:kind="variable" w:type="string" w:valueMode="normal" w:required="false" w:groupID="11">
    <w:identifier xml:space="preserve">ID15</w:identifier>
    <w:name xml:space="preserve">Buzilishga tushgan bino-inshootning kadastr raqami</w:name>
    <w:value w:hidden="false">
      <w:unit w:active="false"/>
    </w:value>
  </w:element>
  <w:element w:id="16" w:kind="variable" w:type="string" w:valueMode="normal" w:required="false" w:groupID="11">
    <w:identifier xml:space="preserve">ID16</w:identifier>
    <w:name xml:space="preserve">Buzilishga tushgan bino-inshootning maydoni hajmi</w:name>
    <w:value w:hidden="false">
      <w:unit w:active="false"/>
    </w:value>
  </w:element>
  <w:element w:id="17" w:kind="variable" w:type="string" w:valueMode="normal" w:required="false" w:groupID="11">
    <w:identifier xml:space="preserve">ID17</w:identifier>
    <w:name xml:space="preserve">Yer uchastkasi va bino-inshoatlarni buzishga qaror chiqargan tashkilot nomi</w:name>
    <w:value w:hidden="false">
      <w:unit w:active="false"/>
    </w:value>
  </w:element>
  <w:element w:id="18" w:kind="variable" w:type="string" w:valueMode="normal" w:required="false" w:groupID="11">
    <w:identifier xml:space="preserve">ID18</w:identifier>
    <w:name xml:space="preserve">Buzish to‘g‘risida qaror chiqarilgan sana</w:name>
    <w:value w:hidden="false">
      <w:unit w:active="false"/>
    </w:value>
  </w:element>
  <w:element w:id="19" w:kind="variable" w:type="string" w:valueMode="normal" w:required="false" w:groupID="11">
    <w:identifier xml:space="preserve">ID19</w:identifier>
    <w:name xml:space="preserve"> Buzish to‘g‘risida chiqarilgan qaror raqami</w:name>
    <w:value w:hidden="false">
      <w:unit w:active="false"/>
    </w:value>
  </w:element>
  <w:element w:id="20" w:kind="variable" w:type="string" w:valueMode="normal" w:required="false" w:groupID="11">
    <w:identifier xml:space="preserve">ID20</w:identifier>
    <w:name xml:space="preserve">Buzilishga tushgan yer uchastkasi va bino-inshoatlarni baholagan tashkilot nomi</w:name>
    <w:value w:hidden="false">
      <w:unit w:active="false"/>
    </w:value>
  </w:element>
  <w:element w:id="21" w:kind="variable" w:type="string" w:valueMode="normal" w:required="false" w:groupID="11">
    <w:identifier xml:space="preserve">ID21</w:identifier>
    <w:name xml:space="preserve">Baholash o‘tkazilgan sana</w:name>
    <w:value w:hidden="false">
      <w:unit w:active="false"/>
    </w:value>
  </w:element>
  <w:element w:id="22" w:kind="variable" w:type="string" w:valueMode="normal" w:required="false" w:groupID="11">
    <w:identifier xml:space="preserve">ID22</w:identifier>
    <w:name xml:space="preserve">Baholash natijasiga ko‘ra yer uchastkasi va bino-inshoatlarning qiymati</w:name>
    <w:value w:hidden="false">
      <w:unit w:active="false"/>
    </w:value>
  </w:element>
</w:structure>
</file>