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9"/>
        <w:gridCol w:w="4816"/>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Jinoyat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jinoyat ishlari bo‘yicha sud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yuridik shaxsning yuridik manzili</w:t>
              <w:fldChar w:fldCharType="end"/>
            </w:r>
            <w:r>
              <w:rPr>
                <w:b/>
                <w:sz w:val="28"/>
                <w:rFonts w:ascii="Times New Roman" w:hAnsi="Times New Roman"/>
              </w:rPr>
              <w:t xml:space="preserve">da yashovchi</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r>
              <w:rPr>
                <w:b/>
                <w:sz w:val="28"/>
                <w:rFonts w:ascii="Times New Roman" w:hAnsi="Times New Roman"/>
              </w:rPr>
              <w:t xml:space="preserve"> tomonidan</w:t>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sz w:val="28"/>
          <w:rFonts w:ascii="Times New Roman" w:hAnsi="Times New Roman"/>
        </w:rPr>
      </w:pPr>
      <w:r>
        <w:rPr>
          <w:sz w:val="28"/>
          <w:rFonts w:ascii="Times New Roman" w:hAnsi="Times New Roman"/>
        </w:rPr>
        <w:t xml:space="preserve">Ehtiyot chorasini o‘zgartirish to‘g‘risida </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Jinoyat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jinoyat ishlari bo‘yicha sud nomi</w:t>
        <w:fldChar w:fldCharType="end"/>
      </w:r>
      <w:r>
        <w:rPr>
          <w:sz w:val="28"/>
          <w:rFonts w:ascii="Times New Roman" w:hAnsi="Times New Roman"/>
        </w:rPr>
        <w:t xml:space="preserve"> sudi tomonidan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Jinoyat ishi bo‘yicha ayblanuvchining F.I.Sh.i</w:t>
        <w:fldChar w:fldCharType="end"/>
      </w:r>
      <w:r>
        <w:rPr>
          <w:sz w:val="28"/>
          <w:rFonts w:ascii="Times New Roman" w:hAnsi="Times New Roman"/>
        </w:rPr>
        <w:t xml:space="preserve">ga nisbatan O‘zbekiston Respublikasi JKning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Jinoyat ishi bo‘yicha ayblanuvchi ayblanayotgan JK moddasi</w:t>
        <w:fldChar w:fldCharType="end"/>
      </w:r>
      <w:r>
        <w:rPr>
          <w:sz w:val="28"/>
          <w:rFonts w:ascii="Times New Roman" w:hAnsi="Times New Roman"/>
        </w:rPr>
        <w:t xml:space="preserve"> moddasi bilan jinoyat ishi ko‘rib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bo‘yicha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Jinoyat ishi bo‘yicha ayblanuvchining F.I.Sh.i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Ayblanuvchiga nisbatan tayinlangan ehtiyot chorasi</w:t>
        <w:fldChar w:fldCharType="end"/>
      </w:r>
      <w:r>
        <w:rPr>
          <w:sz w:val="28"/>
          <w:rFonts w:ascii="Times New Roman" w:hAnsi="Times New Roman"/>
        </w:rPr>
        <w:t xml:space="preserve"> ehtiyot chorasi qo‘llanilgan. Quyidagilarga asosan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Jinoyat ishi bo‘yicha ayblanuvchining F.I.Sh.i</w:t>
        <w:fldChar w:fldCharType="end"/>
      </w:r>
      <w:r>
        <w:rPr>
          <w:sz w:val="28"/>
          <w:rFonts w:ascii="Times New Roman" w:hAnsi="Times New Roman"/>
        </w:rPr>
        <w:t xml:space="preserve">ga nisbatan og‘ir ehtiyot chorasi tanlangan deb hisoblayman: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Ayblanuvchiga nisbatan tayinlangan ehtiyot chorasi og‘ir tayinlangan deb hisoblanishiga asos bo‘luvchi holatlar</w:t>
        <w:fldChar w:fldCharType="end"/>
      </w:r>
      <w:r>
        <w:rPr>
          <w:sz w:val="28"/>
          <w:rFonts w:ascii="Times New Roman" w:hAnsi="Times New Roman"/>
        </w:rPr>
        <w:t xml:space="preserve"> </w:t>
      </w:r>
    </w:p>
    <w:p>
      <w:pPr>
        <w:pStyle w:val="a4"/>
        <w:jc w:val="both"/>
        <w:ind w:firstLine="709"/>
        <w:spacing w:after="0"/>
        <w:rPr>
          <w:sz w:val="28"/>
          <w:rFonts w:ascii="Times New Roman" w:hAnsi="Times New Roman"/>
        </w:rPr>
      </w:pPr>
      <w:r>
        <w:rPr>
          <w:sz w:val="28"/>
          <w:rFonts w:ascii="Times New Roman" w:hAnsi="Times New Roman"/>
        </w:rPr>
        <w:t xml:space="preserve">O‘zbekiston Respublikasi Jinoyat protsessual Kodeksining 236-moddasiga ko‘ra, ehtiyot chorasi ayblanuvchi, sudlanuvchi surishtiruvdan, dastlabki tergovdan va suddan bo‘yin tovlashining oldini olish, uning bundan buyongi jinoiy faoliyatining oldini olish, uning ish bo‘yicha haqiqatni aniqlashga halal beradigan urinishlariga yo‘l qo‘ymaslik, hukmning ijro etilishini ta’minlash maqsadida qo‘llaniladi.</w:t>
      </w:r>
    </w:p>
    <w:p>
      <w:pPr>
        <w:pStyle w:val="a4"/>
        <w:jc w:val="both"/>
        <w:ind w:firstLine="709"/>
        <w:spacing w:after="0"/>
        <w:rPr>
          <w:sz w:val="28"/>
          <w:rFonts w:ascii="Times New Roman" w:hAnsi="Times New Roman"/>
        </w:rPr>
      </w:pPr>
      <w:r>
        <w:rPr>
          <w:sz w:val="28"/>
          <w:rFonts w:ascii="Times New Roman" w:hAnsi="Times New Roman"/>
        </w:rPr>
        <w:t xml:space="preserve">Ayblanuvchi surishtiruvdan, dastlabki tergovdan va suddan yashirinishi mumkin degan o‘rinli taxmin ham qamoqda saqlash tarzidagi ehtiyot chorasini tanlash uchun asos bo‘lishi mumkin.</w:t>
      </w:r>
    </w:p>
    <w:p>
      <w:pPr>
        <w:jc w:val="both"/>
        <w:ind w:firstLine="851"/>
        <w:spacing w:after="0"/>
        <w:rPr>
          <w:sz w:val="28"/>
          <w:rFonts w:ascii="Times New Roman" w:hAnsi="Times New Roman"/>
        </w:rPr>
      </w:pPr>
      <w:r>
        <w:rPr>
          <w:sz w:val="28"/>
          <w:rFonts w:ascii="Times New Roman" w:hAnsi="Times New Roman"/>
        </w:rPr>
        <w:t xml:space="preserve">Mazkur Kodeksning 238-moddasiga ko‘ra,</w:t>
      </w:r>
      <w:r>
        <w:rPr>
          <w:b/>
          <w:sz w:val="28"/>
          <w:rFonts w:ascii="Times New Roman" w:hAnsi="Times New Roman"/>
        </w:rPr>
        <w:t xml:space="preserve"> </w:t>
      </w:r>
      <w:r>
        <w:rPr>
          <w:sz w:val="28"/>
          <w:rFonts w:ascii="Times New Roman" w:hAnsi="Times New Roman"/>
        </w:rPr>
        <w:t xml:space="preserve">ehtiyot choralaridan qaysi birini qo‘llash to‘g‘risidagi masalani hal qilishda surishtiruvchi, tergovchi, prokuror, sud ushbu Kodeksning 236-moddasida nazarda tutilgan asoslardan tashqari qo‘yilgan aybning og‘irligini, ayblanuvchining shaxsini, mashg‘ulot turini, yoshi, sog‘lig‘i, oilaviy ahvoli va boshqa holatlarni ham hisobga oladi.</w:t>
      </w:r>
    </w:p>
    <w:p>
      <w:pPr>
        <w:pStyle w:val="a4"/>
        <w:jc w:val="both"/>
        <w:ind w:firstLine="709"/>
        <w:spacing w:after="0"/>
        <w:rPr>
          <w:b/>
          <w:sz w:val="28"/>
          <w:rFonts w:ascii="Times New Roman" w:hAnsi="Times New Roman"/>
        </w:rPr>
      </w:pPr>
      <w:r>
        <w:rPr>
          <w:sz w:val="28"/>
          <w:rFonts w:ascii="Times New Roman" w:hAnsi="Times New Roman"/>
        </w:rPr>
        <w:t xml:space="preserve">O‘zbekiston Respublikasi Jinoyat protsessual Kodeksining 236-240-moddalariga asosan,</w:t>
      </w:r>
    </w:p>
    <w:p>
      <w:pPr>
        <w:jc w:val="cente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SO‘RAYMAN:</w:t>
      </w:r>
    </w:p>
    <w:p>
      <w:pPr>
        <w:jc w:val="center"/>
        <w:spacing w:after="0"/>
        <w:rPr>
          <w:sz w:val="28"/>
          <w:rFonts w:ascii="Times New Roman" w:hAnsi="Times New Roman"/>
        </w:rPr>
      </w:pPr>
    </w:p>
    <w:p>
      <w:pPr>
        <w:jc w:val="both"/>
        <w:spacing w:after="0"/>
        <w:rPr>
          <w:sz w:val="28"/>
          <w:rFonts w:ascii="Times New Roman" w:hAnsi="Times New Roman"/>
        </w:rPr>
      </w:pPr>
      <w:r>
        <w:rPr>
          <w:sz w:val="28"/>
          <w:rFonts w:ascii="Times New Roman" w:hAnsi="Times New Roman"/>
        </w:rPr>
        <w:tab/>
        <w:t xml:space="preserve">Mazkur jinoyat ishi bo‘yicha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Jinoyat ishi bo‘yicha ayblanuvchining F.I.Sh.i</w:t>
        <w:fldChar w:fldCharType="end"/>
      </w:r>
      <w:r>
        <w:rPr>
          <w:sz w:val="28"/>
          <w:rFonts w:ascii="Times New Roman" w:hAnsi="Times New Roman"/>
        </w:rPr>
        <w:t xml:space="preserve">ga nisbatan tayinlangan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Ayblanuvchiga nisbatan tayinlangan ehtiyot chorasi</w:t>
        <w:fldChar w:fldCharType="end"/>
      </w:r>
      <w:r>
        <w:rPr>
          <w:sz w:val="28"/>
          <w:rFonts w:ascii="Times New Roman" w:hAnsi="Times New Roman"/>
        </w:rPr>
        <w:t xml:space="preserve"> ehtiyot chorasini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Ayblanuvchiga nisbatan tayinlanishi so‘ralayotgan ehtiyot chorasi turi</w:t>
        <w:fldChar w:fldCharType="end"/>
      </w:r>
      <w:r>
        <w:rPr>
          <w:sz w:val="28"/>
          <w:rFonts w:ascii="Times New Roman" w:hAnsi="Times New Roman"/>
        </w:rPr>
        <w:t xml:space="preserve"> ehtiyot chorasiga o‘zgartirishingizni.</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r>
        <w:rPr>
          <w:b/>
          <w:sz w:val="28"/>
          <w:rFonts w:ascii="Times New Roman" w:hAnsi="Times New Roman"/>
        </w:rPr>
        <w:t xml:space="preserve">           </w:t>
      </w: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F6"/>
    <w:rsid w:val="000F6E1F"/>
    <w:rsid w:val="0032138C"/>
    <w:rsid w:val="003523A0"/>
    <w:rsid w:val="00413278"/>
    <w:rsid w:val="004612F6"/>
    <w:rsid w:val="00595196"/>
    <w:rsid w:val="005F18D8"/>
    <w:rsid w:val="0064683F"/>
    <w:rsid w:val="00713CE7"/>
    <w:rsid w:val="007170E4"/>
    <w:rsid w:val="00841D28"/>
    <w:rsid w:val="008D183A"/>
    <w:rsid w:val="00A83700"/>
    <w:rsid w:val="00F74108"/>
    <w:rsid w:val="00FC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553FD-4C9D-4BBE-88EE-50B9F86B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27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3278"/>
    <w:pPr>
      <w:ind w:left="720"/>
      <w:contextualSpacing/>
    </w:pPr>
  </w:style>
  <w:style w:type="paragraph" w:styleId="a4">
    <w:name w:val="Body Text"/>
    <w:basedOn w:val="a"/>
    <w:link w:val="a5"/>
    <w:rsid w:val="00413278"/>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413278"/>
    <w:rPr>
      <w:rFonts w:ascii="Calibri" w:eastAsia="Calibri" w:hAnsi="Calibri" w:cs="Times New Roman"/>
      <w:lang w:eastAsia="zh-CN"/>
    </w:rPr>
  </w:style>
  <w:style w:type="paragraph" w:customStyle="1" w:styleId="ConsPlusNonformat">
    <w:name w:val="ConsPlusNonformat"/>
    <w:uiPriority w:val="99"/>
    <w:rsid w:val="004132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lauseprfx">
    <w:name w:val="clauseprfx"/>
    <w:basedOn w:val="a0"/>
    <w:rsid w:val="00413278"/>
  </w:style>
  <w:style w:type="character" w:customStyle="1" w:styleId="clausesuff">
    <w:name w:val="clausesuff"/>
    <w:basedOn w:val="a0"/>
    <w:rsid w:val="00413278"/>
  </w:style>
  <w:style w:type="character" w:styleId="a6">
    <w:name w:val="Hyperlink"/>
    <w:basedOn w:val="a0"/>
    <w:uiPriority w:val="99"/>
    <w:semiHidden/>
    <w:unhideWhenUsed/>
    <w:rsid w:val="004132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733114">
      <w:bodyDiv w:val="1"/>
      <w:marLeft w:val="0"/>
      <w:marRight w:val="0"/>
      <w:marTop w:val="0"/>
      <w:marBottom w:val="0"/>
      <w:divBdr>
        <w:top w:val="none" w:sz="0" w:space="0" w:color="auto"/>
        <w:left w:val="none" w:sz="0" w:space="0" w:color="auto"/>
        <w:bottom w:val="none" w:sz="0" w:space="0" w:color="auto"/>
        <w:right w:val="none" w:sz="0" w:space="0" w:color="auto"/>
      </w:divBdr>
      <w:divsChild>
        <w:div w:id="2071923072">
          <w:marLeft w:val="0"/>
          <w:marRight w:val="0"/>
          <w:marTop w:val="120"/>
          <w:marBottom w:val="120"/>
          <w:divBdr>
            <w:top w:val="none" w:sz="0" w:space="0" w:color="auto"/>
            <w:left w:val="none" w:sz="0" w:space="0" w:color="auto"/>
            <w:bottom w:val="none" w:sz="0" w:space="0" w:color="auto"/>
            <w:right w:val="none" w:sz="0" w:space="0" w:color="auto"/>
          </w:divBdr>
        </w:div>
        <w:div w:id="2034719054">
          <w:marLeft w:val="0"/>
          <w:marRight w:val="0"/>
          <w:marTop w:val="0"/>
          <w:marBottom w:val="150"/>
          <w:divBdr>
            <w:top w:val="none" w:sz="0" w:space="0" w:color="auto"/>
            <w:left w:val="none" w:sz="0" w:space="0" w:color="auto"/>
            <w:bottom w:val="none" w:sz="0" w:space="0" w:color="auto"/>
            <w:right w:val="none" w:sz="0" w:space="0" w:color="auto"/>
          </w:divBdr>
        </w:div>
        <w:div w:id="1200238238">
          <w:marLeft w:val="0"/>
          <w:marRight w:val="0"/>
          <w:marTop w:val="60"/>
          <w:marBottom w:val="60"/>
          <w:divBdr>
            <w:top w:val="none" w:sz="0" w:space="0" w:color="auto"/>
            <w:left w:val="none" w:sz="0" w:space="0" w:color="auto"/>
            <w:bottom w:val="none" w:sz="0" w:space="0" w:color="auto"/>
            <w:right w:val="none" w:sz="0" w:space="0" w:color="auto"/>
          </w:divBdr>
          <w:divsChild>
            <w:div w:id="348989785">
              <w:marLeft w:val="0"/>
              <w:marRight w:val="0"/>
              <w:marTop w:val="0"/>
              <w:marBottom w:val="0"/>
              <w:divBdr>
                <w:top w:val="none" w:sz="0" w:space="0" w:color="auto"/>
                <w:left w:val="none" w:sz="0" w:space="0" w:color="auto"/>
                <w:bottom w:val="none" w:sz="0" w:space="0" w:color="auto"/>
                <w:right w:val="none" w:sz="0" w:space="0" w:color="auto"/>
              </w:divBdr>
            </w:div>
          </w:divsChild>
        </w:div>
        <w:div w:id="1771200284">
          <w:marLeft w:val="0"/>
          <w:marRight w:val="0"/>
          <w:marTop w:val="60"/>
          <w:marBottom w:val="60"/>
          <w:divBdr>
            <w:top w:val="none" w:sz="0" w:space="0" w:color="auto"/>
            <w:left w:val="none" w:sz="0" w:space="0" w:color="auto"/>
            <w:bottom w:val="none" w:sz="0" w:space="0" w:color="auto"/>
            <w:right w:val="none" w:sz="0" w:space="0" w:color="auto"/>
          </w:divBdr>
        </w:div>
        <w:div w:id="1518036940">
          <w:marLeft w:val="0"/>
          <w:marRight w:val="0"/>
          <w:marTop w:val="0"/>
          <w:marBottom w:val="150"/>
          <w:divBdr>
            <w:top w:val="none" w:sz="0" w:space="0" w:color="auto"/>
            <w:left w:val="none" w:sz="0" w:space="0" w:color="auto"/>
            <w:bottom w:val="none" w:sz="0" w:space="0" w:color="auto"/>
            <w:right w:val="none" w:sz="0" w:space="0" w:color="auto"/>
          </w:divBdr>
        </w:div>
      </w:divsChild>
    </w:div>
    <w:div w:id="848376016">
      <w:bodyDiv w:val="1"/>
      <w:marLeft w:val="0"/>
      <w:marRight w:val="0"/>
      <w:marTop w:val="0"/>
      <w:marBottom w:val="0"/>
      <w:divBdr>
        <w:top w:val="none" w:sz="0" w:space="0" w:color="auto"/>
        <w:left w:val="none" w:sz="0" w:space="0" w:color="auto"/>
        <w:bottom w:val="none" w:sz="0" w:space="0" w:color="auto"/>
        <w:right w:val="none" w:sz="0" w:space="0" w:color="auto"/>
      </w:divBdr>
      <w:divsChild>
        <w:div w:id="1252813414">
          <w:marLeft w:val="0"/>
          <w:marRight w:val="0"/>
          <w:marTop w:val="120"/>
          <w:marBottom w:val="120"/>
          <w:divBdr>
            <w:top w:val="none" w:sz="0" w:space="0" w:color="auto"/>
            <w:left w:val="none" w:sz="0" w:space="0" w:color="auto"/>
            <w:bottom w:val="none" w:sz="0" w:space="0" w:color="auto"/>
            <w:right w:val="none" w:sz="0" w:space="0" w:color="auto"/>
          </w:divBdr>
        </w:div>
        <w:div w:id="1769429433">
          <w:marLeft w:val="0"/>
          <w:marRight w:val="0"/>
          <w:marTop w:val="60"/>
          <w:marBottom w:val="60"/>
          <w:divBdr>
            <w:top w:val="none" w:sz="0" w:space="0" w:color="auto"/>
            <w:left w:val="none" w:sz="0" w:space="0" w:color="auto"/>
            <w:bottom w:val="none" w:sz="0" w:space="0" w:color="auto"/>
            <w:right w:val="none" w:sz="0" w:space="0" w:color="auto"/>
          </w:divBdr>
        </w:div>
        <w:div w:id="72610088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2024-03-28T04:23:00Z</dcterms:created>
  <dcterms:modified xsi:type="dcterms:W3CDTF">2024-03-28T04:23:00Z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jinoyat ishlari bo‘yicha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yuridik shaxsning yuridik manzili</w:name>
    <w:value w:hidden="false">
      <w:unit w:active="false"/>
    </w:value>
  </w:element>
  <w:element w:id="6" w:kind="variable" w:selector="check" w:type="string" w:valueMode="normal" w:required="false" w:groupID="4">
    <w:identifier xml:space="preserve">ID6</w:identifier>
    <w:name xml:space="preserve">Iltimosnoma beruvchi yuridik shaxsning nomi va tashkiliy huquqiy shakli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Jinoyat ishi bo‘yicha ayblanuvchining F.I.Sh.i</w:name>
    <w:value w:hidden="false">
      <w:unit w:active="false"/>
    </w:value>
  </w:element>
  <w:element w:id="9" w:kind="variable" w:selector="check" w:type="string" w:valueMode="normal" w:required="false" w:groupID="7">
    <w:identifier xml:space="preserve">ID9</w:identifier>
    <w:name xml:space="preserve">Jinoyat ishi bo‘yicha ayblanuvchi ayblanayotgan JK moddasi</w:name>
    <w:value w:hidden="false">
      <w:unit w:active="false"/>
    </w:value>
  </w:element>
  <w:element w:id="10" w:kind="variable" w:selector="check" w:type="string" w:valueMode="normal" w:required="false" w:groupID="7">
    <w:identifier xml:space="preserve">ID10</w:identifier>
    <w:name xml:space="preserve">Ayblanuvchiga nisbatan tayinlangan ehtiyot chorasi</w:name>
    <w:value w:hidden="false">
      <w:unit w:active="false"/>
    </w:value>
  </w:element>
  <w:element w:id="11" w:kind="variable" w:selector="check" w:type="string" w:valueMode="normal" w:required="false" w:groupID="7">
    <w:identifier xml:space="preserve">ID11</w:identifier>
    <w:name xml:space="preserve">Ayblanuvchiga nisbatan tayinlangan ehtiyot chorasi og‘ir tayinlangan deb hisoblanishiga asos bo‘luvchi holatlar</w:name>
    <w:value w:hidden="false">
      <w:unit w:active="false"/>
    </w:value>
  </w:element>
  <w:element w:id="12" w:kind="variable" w:selector="check" w:type="string" w:valueMode="normal" w:required="false" w:groupID="7">
    <w:identifier xml:space="preserve">ID12</w:identifier>
    <w:name xml:space="preserve">Ayblanuvchiga nisbatan tayinlanishi so‘ralayotgan ehtiyot chorasi turi</w:name>
    <w:value w:hidden="false">
      <w:unit w:active="false"/>
    </w:value>
  </w:element>
  <w:element w:id="13" w:kind="variable" w:selector="check" w:type="string" w:valueMode="normal" w:required="false" w:groupID="7">
    <w:identifier xml:space="preserve">ID13</w:identifier>
    <w:name xml:space="preserve">Iltimosnomaga ilova qilingan hujjatlar ro‘yxati</w:name>
    <w:comment xml:space="preserve">Izoh: Iltimosnomaga ish holatiga oid, iltimosnomani asoslovchi barcha hujjatlar va boshqa hujjatlar ilova qilinishi lozim</w:comment>
    <w:value w:hidden="false">
      <w:unit w:active="false"/>
    </w:value>
  </w:element>
</w:structure>
</file>