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0"/>
        <w:rPr>
          <w:b/>
          <w:color w:val="000000"/>
        </w:rPr>
      </w:pPr>
    </w:p>
    <w:p>
      <w:pPr>
        <w:jc w:val="center"/>
        <w:spacing w:after="0"/>
        <w:rPr>
          <w:b/>
        </w:rPr>
      </w:pPr>
      <w:r>
        <w:rPr>
          <w:b/>
        </w:rPr>
        <w:t xml:space="preserve">KOMPLEKS TADBIRKORLIK LITSENZIYASI (FRANSHIZING) SHARTNOMASI</w:t>
      </w:r>
    </w:p>
    <w:p>
      <w:pPr>
        <w:jc w:val="center"/>
        <w:spacing w:after="0"/>
        <w:rPr>
          <w:b/>
        </w:rPr>
      </w:pPr>
    </w:p>
    <w:tbl>
      <w:tblPr>
        <w:tblW w:w="9645" w:type="dxa"/>
        <w:tblCellMar>
          <w:left w:w="15" w:type="dxa"/>
          <w:top w:w="15" w:type="dxa"/>
          <w:right w:w="15" w:type="dxa"/>
          <w:bottom w:w="15" w:type="dxa"/>
        </w:tblCellMar>
        <w:shd w:fill="ffffff"/>
      </w:tblPr>
      <w:tblGrid>
        <w:gridCol w:w="3137"/>
        <w:gridCol w:w="3137"/>
        <w:gridCol w:w="3371"/>
      </w:tblGrid>
      <w:tr>
        <w:tc>
          <w:tcPr>
            <w:tcW w:w="3137" w:type="dxa"/>
            <w:shd w:fill="ffffff"/>
            <w:hideMark/>
          </w:tcPr>
          <w:p>
            <w:pPr>
              <w:spacing w:after="0"/>
              <w:rPr>
                <w:color w:val="000000"/>
              </w:rPr>
            </w:pPr>
            <w:r>
              <w:rPr>
                <w:vanish w:val="false"/>
                <w:color w:val="000000"/>
                <w:rFonts w:ascii="Times New Roman" w:hAnsi="Times New Roman"/>
              </w:rPr>
              <w:fldChar w:fldCharType="begin"/>
              <w:instrText xml:space="preserve">X {"Y":2}</w:instrText>
              <w:fldChar w:fldCharType="separate"/>
              <w:t xml:space="preserve">Shartnoma tuzilgan vaqt</w:t>
            </w:r>
            <w:r>
              <w:rPr>
                <w:vanish w:val="false"/>
                <w:color w:val="000000"/>
                <w:rFonts w:ascii="Times New Roman" w:hAnsi="Times New Roman"/>
              </w:rPr>
              <w:fldChar w:fldCharType="end"/>
            </w:r>
          </w:p>
        </w:tc>
        <w:tc>
          <w:tcPr>
            <w:tcW w:w="3137" w:type="dxa"/>
            <w:shd w:fill="ffffff"/>
            <w:hideMark/>
          </w:tcPr>
          <w:p>
            <w:pPr>
              <w:jc w:val="center"/>
              <w:spacing w:after="0"/>
              <w:rPr>
                <w:color w:val="000000"/>
              </w:rPr>
            </w:pPr>
            <w:r>
              <w:rPr>
                <w:vanish w:val="false"/>
                <w:color w:val="000000"/>
                <w:rFonts w:ascii="Times New Roman" w:hAnsi="Times New Roman"/>
              </w:rPr>
              <w:fldChar w:fldCharType="begin"/>
              <w:instrText xml:space="preserve">X {"Y":3}</w:instrText>
              <w:fldChar w:fldCharType="separate"/>
              <w:t xml:space="preserve">Shartnoma raqami</w:t>
            </w:r>
            <w:r>
              <w:rPr>
                <w:vanish w:val="false"/>
                <w:color w:val="000000"/>
                <w:rFonts w:ascii="Times New Roman" w:hAnsi="Times New Roman"/>
              </w:rPr>
              <w:fldChar w:fldCharType="end"/>
            </w:r>
            <w:r>
              <w:rPr>
                <w:color w:val="000000"/>
              </w:rPr>
              <w:t>-son</w:t>
            </w:r>
          </w:p>
        </w:tc>
        <w:tc>
          <w:tcPr>
            <w:tcW w:w="3371" w:type="dxa"/>
            <w:shd w:fill="ffffff"/>
            <w:hideMark/>
          </w:tcPr>
          <w:p>
            <w:pPr>
              <w:jc w:val="right"/>
              <w:ind w:left="221"/>
              <w:spacing w:after="0"/>
              <w:rPr>
                <w:color w:val="000000"/>
              </w:rPr>
            </w:pPr>
            <w:r>
              <w:rPr>
                <w:vanish w:val="false"/>
                <w:color w:val="000000"/>
                <w:rFonts w:ascii="Times New Roman" w:hAnsi="Times New Roman"/>
              </w:rPr>
              <w:fldChar w:fldCharType="begin"/>
              <w:instrText xml:space="preserve">X {"Y":4}</w:instrText>
              <w:fldChar w:fldCharType="separate"/>
              <w:t xml:space="preserve">Shartnoma tuzilgan joy</w:t>
            </w:r>
            <w:r>
              <w:rPr>
                <w:vanish w:val="false"/>
                <w:color w:val="000000"/>
                <w:rFonts w:ascii="Times New Roman" w:hAnsi="Times New Roman"/>
              </w:rPr>
              <w:fldChar w:fldCharType="end"/>
            </w:r>
          </w:p>
        </w:tc>
      </w:tr>
    </w:tbl>
    <w:p>
      <w:pPr>
        <w:shd w:fill="ffffff"/>
        <w:spacing w:after="0"/>
        <w:rPr>
          <w:color w:val="000000"/>
        </w:rPr>
      </w:pPr>
      <w:r>
        <w:rPr>
          <w:color w:val="000000"/>
        </w:rPr>
        <w:t> </w:t>
      </w:r>
    </w:p>
    <w:p>
      <w:pPr>
        <w:jc w:val="both"/>
        <w:shd w:fill="ffffff"/>
        <w:ind w:firstLine="425"/>
        <w:spacing w:after="0"/>
        <w:rPr>
          <w:color w:val="000000"/>
        </w:rPr>
      </w:pPr>
      <w:r>
        <w:rPr>
          <w:vanish w:val="false"/>
          <w:color w:val="000000"/>
          <w:rFonts w:ascii="Times New Roman" w:hAnsi="Times New Roman"/>
        </w:rPr>
        <w:fldChar w:fldCharType="begin"/>
        <w:instrText xml:space="preserve">X {"Y":6}</w:instrText>
        <w:fldChar w:fldCharType="separate"/>
        <w:t xml:space="preserve">Kompleks litsenziarning to‘liq nomi</w:t>
      </w:r>
      <w:r>
        <w:rPr>
          <w:vanish w:val="false"/>
          <w:color w:val="000000"/>
          <w:rFonts w:ascii="Times New Roman" w:hAnsi="Times New Roman"/>
        </w:rPr>
        <w:fldChar w:fldCharType="end"/>
      </w:r>
      <w:r>
        <w:rPr>
          <w:color w:val="000000"/>
        </w:rPr>
        <w:t xml:space="preserve"> keyingi oʻrinlarda “Kompleks litsenziar” deb yuritiladi nomidan </w:t>
      </w:r>
      <w:r>
        <w:rPr>
          <w:vanish w:val="false"/>
          <w:color w:val="000000"/>
          <w:rFonts w:ascii="Times New Roman" w:hAnsi="Times New Roman"/>
        </w:rPr>
        <w:fldChar w:fldCharType="begin"/>
        <w:instrText xml:space="preserve">X {"Y":7}</w:instrText>
        <w:fldChar w:fldCharType="separate"/>
        <w:t xml:space="preserve">Kompleks litsenziarga shartnoma tuzish huquqini beruvchi hujjat</w:t>
      </w:r>
      <w:r>
        <w:rPr>
          <w:vanish w:val="false"/>
          <w:color w:val="000000"/>
          <w:rFonts w:ascii="Times New Roman" w:hAnsi="Times New Roman"/>
        </w:rPr>
        <w:fldChar w:fldCharType="end"/>
      </w:r>
      <w:r>
        <w:rPr>
          <w:color w:val="000000"/>
        </w:rPr>
        <w:t xml:space="preserve"> asosida harakat qiluvchi </w:t>
      </w:r>
      <w:r>
        <w:rPr>
          <w:vanish w:val="false"/>
          <w:color w:val="000000"/>
          <w:rFonts w:ascii="Times New Roman" w:hAnsi="Times New Roman"/>
        </w:rPr>
        <w:fldChar w:fldCharType="begin"/>
        <w:instrText xml:space="preserve">X {"Y":8}</w:instrText>
        <w:fldChar w:fldCharType="separate"/>
        <w:t xml:space="preserve">Kompleks litsenziar vakilining yoki direktorining lavozimi va F.I.Sh</w:t>
      </w:r>
      <w:r>
        <w:rPr>
          <w:vanish w:val="false"/>
          <w:color w:val="000000"/>
          <w:rFonts w:ascii="Times New Roman" w:hAnsi="Times New Roman"/>
        </w:rPr>
        <w:fldChar w:fldCharType="end"/>
      </w:r>
      <w:r>
        <w:rPr>
          <w:color w:val="000000"/>
        </w:rPr>
        <w:t xml:space="preserve"> bir tomondan va </w:t>
      </w:r>
      <w:r>
        <w:rPr>
          <w:vanish w:val="false"/>
          <w:color w:val="000000"/>
          <w:rFonts w:ascii="Times New Roman" w:hAnsi="Times New Roman"/>
        </w:rPr>
        <w:fldChar w:fldCharType="begin"/>
        <w:instrText xml:space="preserve">X {"Y":15}</w:instrText>
        <w:fldChar w:fldCharType="separate"/>
        <w:t xml:space="preserve">Kompleks litsenziatning to‘liq nomi</w:t>
      </w:r>
      <w:r>
        <w:rPr>
          <w:vanish w:val="false"/>
          <w:color w:val="000000"/>
          <w:rFonts w:ascii="Times New Roman" w:hAnsi="Times New Roman"/>
        </w:rPr>
        <w:fldChar w:fldCharType="end"/>
      </w:r>
      <w:r>
        <w:rPr>
          <w:color w:val="000000"/>
        </w:rPr>
        <w:t xml:space="preserve"> keyingi oʻrinlarda “Kompleks litsenziat” deb yuritiladi nomidan </w:t>
      </w:r>
      <w:r>
        <w:rPr>
          <w:vanish w:val="false"/>
          <w:color w:val="000000"/>
          <w:rFonts w:ascii="Times New Roman" w:hAnsi="Times New Roman"/>
        </w:rPr>
        <w:fldChar w:fldCharType="begin"/>
        <w:instrText xml:space="preserve">X {"Y":16}</w:instrText>
        <w:fldChar w:fldCharType="separate"/>
        <w:t xml:space="preserve">Kompleks litsenziatga shartnoma tuzish huquqini beruvchi hujjat</w:t>
      </w:r>
      <w:r>
        <w:rPr>
          <w:vanish w:val="false"/>
          <w:color w:val="000000"/>
          <w:rFonts w:ascii="Times New Roman" w:hAnsi="Times New Roman"/>
        </w:rPr>
        <w:fldChar w:fldCharType="end"/>
      </w:r>
      <w:r>
        <w:rPr>
          <w:color w:val="000000"/>
        </w:rPr>
        <w:t xml:space="preserve"> asosida harakat qiluvchi </w:t>
      </w:r>
      <w:r>
        <w:rPr>
          <w:vanish w:val="false"/>
          <w:color w:val="000000"/>
          <w:rFonts w:ascii="Times New Roman" w:hAnsi="Times New Roman"/>
        </w:rPr>
        <w:fldChar w:fldCharType="begin"/>
        <w:instrText xml:space="preserve">X {"Y":17}</w:instrText>
        <w:fldChar w:fldCharType="separate"/>
        <w:t xml:space="preserve">Kompleks litsenziat vakilining yoki direktorining lavozimi va F.I.Sh</w:t>
      </w:r>
      <w:r>
        <w:rPr>
          <w:vanish w:val="false"/>
          <w:color w:val="000000"/>
          <w:rFonts w:ascii="Times New Roman" w:hAnsi="Times New Roman"/>
        </w:rPr>
        <w:fldChar w:fldCharType="end"/>
      </w:r>
      <w:r>
        <w:rPr>
          <w:color w:val="000000"/>
        </w:rPr>
        <w:t xml:space="preserve"> ikkinchi tomondan, quyidagilar toʻgʻrisida mazkur shartnomani tuzdilar:</w:t>
      </w:r>
    </w:p>
    <w:p>
      <w:pPr>
        <w:jc w:val="both"/>
        <w:shd w:fill="ffffff"/>
        <w:ind w:firstLine="425"/>
        <w:spacing w:after="0"/>
        <w:rPr>
          <w:color w:val="000000"/>
        </w:rPr>
      </w:pPr>
    </w:p>
    <w:p>
      <w:pPr>
        <w:jc w:val="center"/>
        <w:shd w:fill="ffffff"/>
        <w:ind w:firstLine="425"/>
        <w:spacing w:after="0"/>
        <w:rPr>
          <w:b/>
          <w:color w:val="000000"/>
        </w:rPr>
      </w:pPr>
      <w:r>
        <w:rPr>
          <w:b/>
          <w:color w:val="000000"/>
        </w:rPr>
        <w:t xml:space="preserve">1. SHARTNOMA PREDMETI</w:t>
      </w:r>
    </w:p>
    <w:p>
      <w:pPr>
        <w:jc w:val="both"/>
        <w:shd w:fill="ffffff"/>
        <w:ind w:firstLine="425"/>
        <w:spacing w:after="0"/>
        <w:rPr>
          <w:color w:val="000000"/>
        </w:rPr>
      </w:pPr>
      <w:r>
        <w:rPr>
          <w:color w:val="000000"/>
        </w:rPr>
        <w:t xml:space="preserve">1.1. Mazkur shartnoma boʻyicha Kompleks litsenziar Kompleks litsenziatga haq evaziga litsenziarning firma nomidan hamda qoʻriqlanadigan tijorat axborotidan, shuningdek shartnomada nazarda tutilgan mutlaq huquqlarga kiruvchi boshqa obyektlardan (tovar belgisi, xizmat koʻrsatish belgisi va ixtirolar hamda boshqalardan) litsenziatning tadbirkorlik faoliyatida foydalanish huquqini oʻz ichiga oladigan mutlaq huquqlar kompleksini (litsenziya kompleksi) berish, Kompleks litsenziat esa olingan litsenziya kompleksi uchun Kompleks litsenziarga shartnomada koʻrsatilgan haqni toʻlash majburiyatini oladi.</w:t>
      </w:r>
    </w:p>
    <w:p>
      <w:pPr>
        <w:jc w:val="both"/>
        <w:shd w:fill="ffffff"/>
        <w:ind w:firstLine="425"/>
        <w:spacing w:after="0"/>
        <w:rPr>
          <w:color w:val="000000"/>
        </w:rPr>
      </w:pPr>
      <w:r>
        <w:rPr>
          <w:color w:val="000000"/>
        </w:rPr>
        <w:t xml:space="preserve">1.2. Kompleks litsenziar Kompleks litsenziatga tadbirkorlik faoliyatida foydalanish uchun quyidagilarni beradi:</w:t>
      </w:r>
    </w:p>
    <w:p>
      <w:pPr>
        <w:jc w:val="both"/>
        <w:shd w:fill="ffffff"/>
        <w:ind w:firstLine="425"/>
        <w:spacing w:after="0"/>
        <w:rPr>
          <w:color w:val="000000"/>
        </w:rPr>
      </w:pPr>
      <w:r>
        <w:rPr>
          <w:color w:val="000000"/>
        </w:rPr>
        <w:t xml:space="preserve">1.2.1. </w:t>
      </w:r>
      <w:r>
        <w:rPr>
          <w:vanish w:val="false"/>
          <w:color w:val="000000"/>
          <w:rFonts w:ascii="Times New Roman" w:hAnsi="Times New Roman"/>
        </w:rPr>
        <w:fldChar w:fldCharType="begin"/>
        <w:instrText xml:space="preserve">X {"Y":24}</w:instrText>
        <w:fldChar w:fldCharType="separate"/>
        <w:t xml:space="preserve">Kompleks litsenziatga  foydalanish uchun beriladigan Firma nomi (to‘liq va qisqartirilgan firma nomi)</w:t>
      </w:r>
      <w:r>
        <w:rPr>
          <w:vanish w:val="false"/>
          <w:color w:val="000000"/>
          <w:rFonts w:ascii="Times New Roman" w:hAnsi="Times New Roman"/>
        </w:rPr>
        <w:fldChar w:fldCharType="end"/>
      </w:r>
      <w:r>
        <w:rPr>
          <w:color w:val="000000"/>
        </w:rPr>
        <w:t xml:space="preserve"> firma nomini; </w:t>
      </w:r>
    </w:p>
    <w:p>
      <w:pPr>
        <w:jc w:val="both"/>
        <w:shd w:fill="ffffff"/>
        <w:ind w:firstLine="425"/>
        <w:spacing w:after="0"/>
        <w:rPr>
          <w:color w:val="000000"/>
        </w:rPr>
      </w:pPr>
      <w:r>
        <w:rPr>
          <w:color w:val="000000"/>
        </w:rPr>
        <w:t xml:space="preserve">1.2.2. Kompleks litsenziar nomiga </w:t>
      </w:r>
      <w:r>
        <w:rPr>
          <w:vanish w:val="false"/>
          <w:color w:val="000000"/>
          <w:rFonts w:ascii="Times New Roman" w:hAnsi="Times New Roman"/>
        </w:rPr>
        <w:fldChar w:fldCharType="begin"/>
        <w:instrText xml:space="preserve">X {"Y":25}</w:instrText>
        <w:fldChar w:fldCharType="separate"/>
        <w:t xml:space="preserve">Ro‘yxatga oluvchi organning nomi</w:t>
      </w:r>
      <w:r>
        <w:rPr>
          <w:vanish w:val="false"/>
          <w:color w:val="000000"/>
          <w:rFonts w:ascii="Times New Roman" w:hAnsi="Times New Roman"/>
        </w:rPr>
        <w:fldChar w:fldCharType="end"/>
      </w:r>
      <w:r>
        <w:rPr>
          <w:color w:val="000000"/>
        </w:rPr>
        <w:t xml:space="preserve"> tomonidan </w:t>
      </w:r>
      <w:r>
        <w:rPr>
          <w:vanish w:val="false"/>
          <w:color w:val="000000"/>
          <w:rFonts w:ascii="Times New Roman" w:hAnsi="Times New Roman"/>
        </w:rPr>
        <w:fldChar w:fldCharType="begin"/>
        <w:instrText xml:space="preserve">X {"Y":26}</w:instrText>
        <w:fldChar w:fldCharType="separate"/>
        <w:t xml:space="preserve">Ro‘yxatga olingan raqami, sanasi va boshqa zarur maʼlumotlari</w:t>
      </w:r>
      <w:r>
        <w:rPr>
          <w:vanish w:val="false"/>
          <w:color w:val="000000"/>
          <w:rFonts w:ascii="Times New Roman" w:hAnsi="Times New Roman"/>
        </w:rPr>
        <w:fldChar w:fldCharType="end"/>
      </w:r>
      <w:r>
        <w:rPr>
          <w:color w:val="000000"/>
        </w:rPr>
        <w:t xml:space="preserve"> roʻyxatga olingan va tasviri mazkur shartnomada keltirilgan  </w:t>
      </w:r>
      <w:r>
        <w:rPr>
          <w:vanish w:val="false"/>
          <w:color w:val="000000"/>
          <w:rFonts w:ascii="Times New Roman" w:hAnsi="Times New Roman"/>
        </w:rPr>
        <w:fldChar w:fldCharType="begin"/>
        <w:instrText xml:space="preserve">X {"Y":27}</w:instrText>
        <w:fldChar w:fldCharType="separate"/>
        <w:t xml:space="preserve">Tovar belgisining nomi guvohnomasining raqami, berilgan sanasi, amal qilish muddati</w:t>
      </w:r>
      <w:r>
        <w:rPr>
          <w:vanish w:val="false"/>
          <w:color w:val="000000"/>
          <w:rFonts w:ascii="Times New Roman" w:hAnsi="Times New Roman"/>
        </w:rPr>
        <w:fldChar w:fldCharType="end"/>
      </w:r>
      <w:r>
        <w:rPr>
          <w:color w:val="000000"/>
        </w:rPr>
        <w:t xml:space="preserve">_ tovar belgisi;</w:t>
      </w:r>
    </w:p>
    <w:p>
      <w:pPr>
        <w:jc w:val="both"/>
        <w:shd w:fill="ffffff"/>
        <w:ind w:firstLine="425"/>
        <w:spacing w:after="0"/>
        <w:rPr>
          <w:color w:val="000000"/>
        </w:rPr>
      </w:pPr>
      <w:r>
        <w:rPr>
          <w:color w:val="000000"/>
        </w:rPr>
        <w:t xml:space="preserve">1.2.3. </w:t>
      </w:r>
      <w:r>
        <w:rPr>
          <w:vanish w:val="false"/>
          <w:color w:val="000000"/>
          <w:rFonts w:ascii="Times New Roman" w:hAnsi="Times New Roman"/>
        </w:rPr>
        <w:fldChar w:fldCharType="begin"/>
        <w:instrText xml:space="preserve">X {"Y":28}</w:instrText>
        <w:fldChar w:fldCharType="separate"/>
        <w:t xml:space="preserve">Foydalanish uchun beriladigan boshqa mutlaq huquqlar</w:t>
      </w:r>
      <w:r>
        <w:rPr>
          <w:vanish w:val="false"/>
          <w:color w:val="000000"/>
          <w:rFonts w:ascii="Times New Roman" w:hAnsi="Times New Roman"/>
        </w:rPr>
        <w:fldChar w:fldCharType="end"/>
      </w:r>
      <w:r>
        <w:rPr>
          <w:color w:val="000000"/>
        </w:rPr>
        <w:t xml:space="preserve"> </w:t>
      </w:r>
    </w:p>
    <w:p>
      <w:pPr>
        <w:jc w:val="both"/>
        <w:shd w:fill="ffffff"/>
        <w:ind w:firstLine="425"/>
        <w:spacing w:after="0"/>
        <w:rPr>
          <w:color w:val="000000"/>
        </w:rPr>
      </w:pPr>
      <w:r>
        <w:rPr>
          <w:color w:val="000000"/>
        </w:rPr>
        <w:t xml:space="preserve">1.3. Kompleks litsenziat shartnomasining 1.2-bandida koʻrsatilgan litsenziya kompleksidan oʻzi ishlab chiqargan tovarlarni </w:t>
      </w:r>
      <w:r>
        <w:rPr>
          <w:vanish w:val="false"/>
          <w:color w:val="000000"/>
          <w:rFonts w:ascii="Times New Roman" w:hAnsi="Times New Roman"/>
        </w:rPr>
        <w:fldChar w:fldCharType="begin"/>
        <w:instrText xml:space="preserve">X {"Y":29}</w:instrText>
        <w:fldChar w:fldCharType="separate"/>
        <w:t xml:space="preserve">ishlab chiqargan tovarlarni sotishda foydalaniladigan mamlakat yoki hududning nomi</w:t>
      </w:r>
      <w:r>
        <w:rPr>
          <w:vanish w:val="false"/>
          <w:color w:val="000000"/>
          <w:rFonts w:ascii="Times New Roman" w:hAnsi="Times New Roman"/>
        </w:rPr>
        <w:fldChar w:fldCharType="end"/>
      </w:r>
      <w:r>
        <w:rPr>
          <w:color w:val="000000"/>
        </w:rPr>
        <w:t xml:space="preserve"> hududida sotishda foydalanishi mumkin.</w:t>
      </w:r>
    </w:p>
    <w:p>
      <w:pPr>
        <w:jc w:val="both"/>
        <w:shd w:fill="ffffff"/>
        <w:ind w:firstLine="425"/>
        <w:spacing w:after="0"/>
        <w:rPr>
          <w:color w:val="000000"/>
        </w:rPr>
      </w:pPr>
    </w:p>
    <w:p>
      <w:pPr>
        <w:jc w:val="center"/>
        <w:shd w:fill="ffffff"/>
        <w:ind w:firstLine="425"/>
        <w:spacing w:after="0"/>
        <w:rPr>
          <w:b/>
          <w:color w:val="000000"/>
        </w:rPr>
      </w:pPr>
      <w:r>
        <w:rPr>
          <w:b/>
          <w:color w:val="000000"/>
        </w:rPr>
        <w:t xml:space="preserve">2. HISOB-KITOB QILISH TARTIBI.</w:t>
      </w:r>
    </w:p>
    <w:p>
      <w:pPr>
        <w:jc w:val="both"/>
        <w:shd w:fill="ffffff"/>
        <w:ind w:firstLine="425"/>
        <w:spacing w:after="0"/>
        <w:rPr>
          <w:color w:val="000000"/>
        </w:rPr>
      </w:pPr>
      <w:r>
        <w:rPr>
          <w:color w:val="000000"/>
        </w:rPr>
        <w:t xml:space="preserve">2.1. Ushbu shartnoma boʻyicha Kompleks litsenziat olingan litsenziya kompleksi uchun Kompleks litsenziarga </w:t>
      </w:r>
      <w:r>
        <w:rPr>
          <w:vanish w:val="false"/>
          <w:color w:val="000000"/>
          <w:rFonts w:ascii="Times New Roman" w:hAnsi="Times New Roman"/>
        </w:rPr>
        <w:fldChar w:fldCharType="begin"/>
        <w:instrText xml:space="preserve">X {"Y":30}</w:instrText>
        <w:fldChar w:fldCharType="separate"/>
        <w:t xml:space="preserve">Litsenziya kompleksi uchun to‘lanadigan haq miqdori</w:t>
      </w:r>
      <w:r>
        <w:rPr>
          <w:vanish w:val="false"/>
          <w:color w:val="000000"/>
          <w:rFonts w:ascii="Times New Roman" w:hAnsi="Times New Roman"/>
        </w:rPr>
        <w:fldChar w:fldCharType="end"/>
      </w:r>
      <w:r>
        <w:rPr>
          <w:color w:val="000000"/>
        </w:rPr>
        <w:t xml:space="preserve"> soʻm miqdorda, shuningdek har oyda sotilgan tovarlar bahosining </w:t>
      </w:r>
      <w:r>
        <w:rPr>
          <w:vanish w:val="false"/>
          <w:color w:val="000000"/>
          <w:rFonts w:ascii="Times New Roman" w:hAnsi="Times New Roman"/>
        </w:rPr>
        <w:fldChar w:fldCharType="begin"/>
        <w:instrText xml:space="preserve">X {"Y":31}</w:instrText>
        <w:fldChar w:fldCharType="separate"/>
        <w:t xml:space="preserve">Har oyda sotilgan tovarlar bahosidan to‘lanadigan foiz miqdori</w:t>
      </w:r>
      <w:r>
        <w:rPr>
          <w:vanish w:val="false"/>
          <w:color w:val="000000"/>
          <w:rFonts w:ascii="Times New Roman" w:hAnsi="Times New Roman"/>
        </w:rPr>
        <w:fldChar w:fldCharType="end"/>
      </w:r>
      <w:r>
        <w:t xml:space="preserve"> </w:t>
      </w:r>
      <w:r>
        <w:rPr>
          <w:color w:val="000000"/>
        </w:rPr>
        <w:t xml:space="preserve">foizi miqdorida tushumdan ajratmalar shaklida haq toʻlaydi.</w:t>
      </w:r>
    </w:p>
    <w:p>
      <w:pPr>
        <w:jc w:val="both"/>
        <w:shd w:fill="ffffff"/>
        <w:ind w:firstLine="425"/>
        <w:spacing w:after="0"/>
        <w:rPr>
          <w:color w:val="000000"/>
        </w:rPr>
      </w:pPr>
      <w:r>
        <w:rPr>
          <w:color w:val="000000"/>
        </w:rPr>
        <w:t xml:space="preserve">2.2. Taraflar oʻrtasida hisob-kitoblar </w:t>
      </w:r>
      <w:r>
        <w:rPr>
          <w:vanish w:val="false"/>
          <w:color w:val="000000"/>
          <w:rFonts w:ascii="Times New Roman" w:hAnsi="Times New Roman"/>
        </w:rPr>
        <w:fldChar w:fldCharType="begin"/>
        <w:instrText xml:space="preserve">X {"Y":32}</w:instrText>
        <w:fldChar w:fldCharType="separate"/>
        <w:t xml:space="preserve">To‘lov shakli va usuli</w:t>
      </w:r>
      <w:r>
        <w:rPr>
          <w:vanish w:val="false"/>
          <w:color w:val="000000"/>
          <w:rFonts w:ascii="Times New Roman" w:hAnsi="Times New Roman"/>
        </w:rPr>
        <w:fldChar w:fldCharType="end"/>
      </w:r>
      <w:r>
        <w:rPr>
          <w:color w:val="000000"/>
        </w:rPr>
        <w:t xml:space="preserve"> tartibida amalga oshiriladi.</w:t>
      </w:r>
    </w:p>
    <w:p>
      <w:pPr>
        <w:jc w:val="both"/>
        <w:shd w:fill="ffffff"/>
        <w:ind w:firstLine="425"/>
        <w:spacing w:after="0"/>
        <w:rPr>
          <w:color w:val="000000"/>
        </w:rPr>
      </w:pPr>
    </w:p>
    <w:p>
      <w:pPr>
        <w:jc w:val="center"/>
        <w:shd w:fill="ffffff"/>
        <w:ind w:firstLine="425"/>
        <w:spacing w:after="0"/>
        <w:rPr>
          <w:b/>
          <w:color w:val="000000"/>
        </w:rPr>
      </w:pPr>
      <w:r>
        <w:rPr>
          <w:b/>
          <w:color w:val="000000"/>
        </w:rPr>
        <w:t xml:space="preserve">3. TARAFLARNING MAJBURIYATLARI</w:t>
      </w:r>
    </w:p>
    <w:p>
      <w:pPr>
        <w:jc w:val="both"/>
        <w:shd w:fill="ffffff"/>
        <w:ind w:firstLine="425"/>
        <w:spacing w:after="0"/>
        <w:rPr>
          <w:color w:val="000000"/>
        </w:rPr>
      </w:pPr>
      <w:r>
        <w:rPr>
          <w:color w:val="000000"/>
        </w:rPr>
        <w:t xml:space="preserve">3.1. Kompleks litsenziar:</w:t>
      </w:r>
    </w:p>
    <w:p>
      <w:pPr>
        <w:jc w:val="both"/>
        <w:shd w:fill="ffffff"/>
        <w:ind w:firstLine="425"/>
        <w:spacing w:after="0"/>
        <w:rPr>
          <w:color w:val="000000"/>
        </w:rPr>
      </w:pPr>
      <w:r>
        <w:rPr>
          <w:color w:val="000000"/>
        </w:rPr>
        <w:t xml:space="preserve">3.1.1. Kompleks litsenziatga texnikaviy va tijorat hujjatlarini topshirishi hamda Kompleks litsenziat mazkur shartnoma boʻyicha oʻziga berilgan huquqlarni amalga oshirishi uchun zarur boʻlgan boshqa axborotni taqdim etishi, shuningdek Kompleks litsenziat va uning xodimlariga ushbu huquqlarni amalga oshirish bilan bogʻliq masalalar yuzasidan yoʻl-yoʻriqlar berishi;</w:t>
      </w:r>
    </w:p>
    <w:p>
      <w:pPr>
        <w:jc w:val="both"/>
        <w:shd w:fill="ffffff"/>
        <w:ind w:firstLine="425"/>
        <w:spacing w:after="0"/>
        <w:rPr>
          <w:color w:val="000000"/>
        </w:rPr>
      </w:pPr>
      <w:r>
        <w:rPr>
          <w:color w:val="000000"/>
        </w:rPr>
        <w:t xml:space="preserve">3.1.2. Kompleks litsenziatga shartnomada nazarda tutilgan litsenziyalarni berishi, ularning belgilangan tartibda rasmiylashtirilishini taʼminlashi; </w:t>
      </w:r>
    </w:p>
    <w:p>
      <w:pPr>
        <w:jc w:val="both"/>
        <w:shd w:fill="ffffff"/>
        <w:ind w:firstLine="425"/>
        <w:spacing w:after="0"/>
        <w:rPr>
          <w:color w:val="000000"/>
        </w:rPr>
      </w:pPr>
      <w:r>
        <w:rPr>
          <w:color w:val="000000"/>
        </w:rPr>
        <w:t xml:space="preserve">3.1.3. Kompleks litsenziatga doimiy texnikaviy va maslahat yordami koʻrsatishi, shu jumladan xodimlarni oʻqitish va ularning malakasini oshirishda yordam berishi shart;</w:t>
      </w:r>
    </w:p>
    <w:p>
      <w:pPr>
        <w:jc w:val="both"/>
        <w:shd w:fill="ffffff"/>
        <w:ind w:firstLine="425"/>
        <w:spacing w:after="0"/>
        <w:rPr>
          <w:color w:val="000000"/>
        </w:rPr>
      </w:pPr>
      <w:r>
        <w:rPr>
          <w:color w:val="000000"/>
        </w:rPr>
        <w:t xml:space="preserve">3.1.4. </w:t>
      </w:r>
      <w:r>
        <w:rPr>
          <w:vanish w:val="false"/>
          <w:color w:val="000000"/>
          <w:rFonts w:ascii="Times New Roman" w:hAnsi="Times New Roman"/>
        </w:rPr>
        <w:fldChar w:fldCharType="begin"/>
        <w:instrText xml:space="preserve">X {"Y":33}</w:instrText>
        <w:fldChar w:fldCharType="separate"/>
        <w:t xml:space="preserve">Kompleks litsenziarning boshqa majburiyatlari</w:t>
      </w:r>
      <w:r>
        <w:rPr>
          <w:vanish w:val="false"/>
          <w:color w:val="000000"/>
          <w:rFonts w:ascii="Times New Roman" w:hAnsi="Times New Roman"/>
        </w:rPr>
        <w:fldChar w:fldCharType="end"/>
      </w:r>
      <w:r>
        <w:rPr>
          <w:color w:val="000000"/>
        </w:rPr>
        <w:t>.</w:t>
      </w:r>
    </w:p>
    <w:p>
      <w:pPr>
        <w:jc w:val="both"/>
        <w:shd w:fill="ffffff"/>
        <w:ind w:firstLine="425"/>
        <w:spacing w:after="0"/>
        <w:rPr>
          <w:color w:val="000000"/>
        </w:rPr>
      </w:pPr>
      <w:r>
        <w:rPr>
          <w:color w:val="000000"/>
        </w:rPr>
        <w:t xml:space="preserve">3.2. Kompleks litsenziat: </w:t>
      </w:r>
    </w:p>
    <w:p>
      <w:pPr>
        <w:jc w:val="both"/>
        <w:shd w:fill="ffffff"/>
        <w:ind w:firstLine="425"/>
        <w:spacing w:after="0"/>
        <w:rPr>
          <w:color w:val="000000"/>
        </w:rPr>
      </w:pPr>
      <w:r>
        <w:rPr>
          <w:color w:val="000000"/>
        </w:rPr>
        <w:t xml:space="preserve">3.2.1. shartnomada nazarda tutilgan faoliyatni amalga oshirish chogʻida Kompleks litsenziarning firma nomidan shartnomada koʻrsatilgan tarzda foydalanishi; </w:t>
      </w:r>
    </w:p>
    <w:p>
      <w:pPr>
        <w:jc w:val="both"/>
        <w:shd w:fill="ffffff"/>
        <w:ind w:firstLine="425"/>
        <w:spacing w:after="0"/>
        <w:rPr>
          <w:color w:val="000000"/>
        </w:rPr>
      </w:pPr>
      <w:r>
        <w:rPr>
          <w:color w:val="000000"/>
        </w:rPr>
        <w:t xml:space="preserve">3.2.2. shartnoma asosida ishlab chiqarayotgan tovarlar sifati bevosita Kompleks litsenziarning oʻzi ishlab chiqarayotgan shunday tovarlar sifatiga aniq mos boʻlishini taʼminlashi; </w:t>
      </w:r>
    </w:p>
    <w:p>
      <w:pPr>
        <w:jc w:val="both"/>
        <w:shd w:fill="ffffff"/>
        <w:ind w:firstLine="425"/>
        <w:spacing w:after="0"/>
        <w:rPr>
          <w:color w:val="000000"/>
        </w:rPr>
      </w:pPr>
      <w:r>
        <w:rPr>
          <w:color w:val="000000"/>
        </w:rPr>
        <w:t xml:space="preserve">3.2.3. Kompleks litsenziarning litsenziya kompleksiga kiruvchi alohida huquqlardan foydalanish xarakteri, usullari va shartlari bu huquqlardan litsenziarning foydalanishiga aniq mos kelishiga qaratilgan barcha yoʻriqnomalari va koʻrsatmalariga, shu jumladan shartnoma boʻyicha oʻziga berilgan huquqlarni amalga oshirish vaqtida foydalanadigan tijorat binolarining tashqi va ichki bezaklariga doir koʻrsatmalariga ham rioya etishi; </w:t>
      </w:r>
    </w:p>
    <w:p>
      <w:pPr>
        <w:jc w:val="both"/>
        <w:shd w:fill="ffffff"/>
        <w:ind w:firstLine="425"/>
        <w:spacing w:after="0"/>
        <w:rPr>
          <w:color w:val="000000"/>
        </w:rPr>
      </w:pPr>
      <w:r>
        <w:rPr>
          <w:color w:val="000000"/>
        </w:rPr>
        <w:t xml:space="preserve">3.2.4. sotib oluvchilar bevosita Kompleks litsenziardan tovarni sotib olgan vaqtda ularga umid qilishlari mumkin boʻlgan hamma qoʻshimcha xizmatlarni koʻrsatishi; </w:t>
      </w:r>
    </w:p>
    <w:p>
      <w:pPr>
        <w:jc w:val="both"/>
        <w:shd w:fill="ffffff"/>
        <w:ind w:firstLine="425"/>
        <w:spacing w:after="0"/>
        <w:rPr>
          <w:color w:val="000000"/>
        </w:rPr>
      </w:pPr>
      <w:r>
        <w:rPr>
          <w:color w:val="000000"/>
        </w:rPr>
        <w:t xml:space="preserve">3.2.5. Kompleks litsenziarning ishlab chiqarish sirlarini va undan olgan boshqa maxfiy tijorat axborotini oshkor qilmasligi; </w:t>
      </w:r>
    </w:p>
    <w:p>
      <w:pPr>
        <w:jc w:val="both"/>
        <w:shd w:fill="ffffff"/>
        <w:ind w:firstLine="425"/>
        <w:spacing w:after="0"/>
        <w:rPr>
          <w:color w:val="000000"/>
        </w:rPr>
      </w:pPr>
      <w:r>
        <w:rPr>
          <w:color w:val="000000"/>
        </w:rPr>
        <w:t xml:space="preserve">3.2.6. agar shartnomada toʻgʻridan-toʻgʻri nazarda tutilgan boʻlsa, shartlashilgan miqdorda yordamchi litsenziyalarni berishi; </w:t>
      </w:r>
    </w:p>
    <w:p>
      <w:pPr>
        <w:jc w:val="both"/>
        <w:shd w:fill="ffffff"/>
        <w:ind w:firstLine="425"/>
        <w:spacing w:after="0"/>
        <w:rPr>
          <w:color w:val="000000"/>
        </w:rPr>
      </w:pPr>
      <w:r>
        <w:rPr>
          <w:color w:val="000000"/>
        </w:rPr>
        <w:t xml:space="preserve">3.2.7. kompleks tadbirkorlik litsenziyasi tufayli firma nomidan, tovar belgisidan yoki boshqa individuallashtirish vositasidan foydalanayotganligini sotib oluvchilarga ular uchun juda aniq usulda maʼlum qilishi shart;</w:t>
      </w:r>
    </w:p>
    <w:p>
      <w:pPr>
        <w:jc w:val="both"/>
        <w:shd w:fill="ffffff"/>
        <w:ind w:firstLine="425"/>
        <w:spacing w:after="0"/>
        <w:rPr>
          <w:color w:val="000000"/>
        </w:rPr>
      </w:pPr>
      <w:r>
        <w:rPr>
          <w:color w:val="000000"/>
        </w:rPr>
        <w:t xml:space="preserve">3.2.8. </w:t>
      </w:r>
      <w:r>
        <w:rPr>
          <w:vanish w:val="false"/>
          <w:color w:val="000000"/>
          <w:rFonts w:ascii="Times New Roman" w:hAnsi="Times New Roman"/>
        </w:rPr>
        <w:fldChar w:fldCharType="begin"/>
        <w:instrText xml:space="preserve">X {"Y":34}</w:instrText>
        <w:fldChar w:fldCharType="separate"/>
        <w:t xml:space="preserve">Kompleks litsenziatning boshqa majburiyatlari</w:t>
      </w:r>
      <w:r>
        <w:rPr>
          <w:vanish w:val="false"/>
          <w:color w:val="000000"/>
          <w:rFonts w:ascii="Times New Roman" w:hAnsi="Times New Roman"/>
        </w:rPr>
        <w:fldChar w:fldCharType="end"/>
      </w:r>
      <w:r>
        <w:rPr>
          <w:color w:val="000000"/>
        </w:rPr>
        <w:t>.</w:t>
      </w:r>
    </w:p>
    <w:p>
      <w:pPr>
        <w:jc w:val="both"/>
        <w:shd w:fill="ffffff"/>
        <w:ind w:firstLine="425"/>
        <w:spacing w:after="0"/>
        <w:rPr>
          <w:color w:val="000000"/>
        </w:rPr>
      </w:pPr>
    </w:p>
    <w:p>
      <w:pPr>
        <w:jc w:val="center"/>
        <w:shd w:fill="ffffff"/>
        <w:ind w:firstLine="425"/>
        <w:spacing w:after="0"/>
        <w:rPr>
          <w:b/>
          <w:color w:val="000000"/>
        </w:rPr>
      </w:pPr>
      <w:r>
        <w:rPr>
          <w:b/>
          <w:color w:val="000000"/>
        </w:rPr>
        <w:t xml:space="preserve">4. TARAFLARNING JAVOBGARLIGI VA NIZOLARNI HAL QILISH</w:t>
      </w:r>
    </w:p>
    <w:p>
      <w:pPr>
        <w:jc w:val="both"/>
        <w:shd w:fill="ffffff"/>
        <w:ind w:firstLine="425"/>
        <w:spacing w:after="0"/>
        <w:rPr>
          <w:color w:val="000000"/>
        </w:rPr>
      </w:pPr>
      <w:r>
        <w:rPr>
          <w:color w:val="000000"/>
        </w:rPr>
        <w:t xml:space="preserve">4.1. Kompleks litsenziat mazkur shartnoma boʻyicha sotayotgan tovarlar sifati shartnomaga mos emasligi toʻgʻrisida Kompleks litsenziatga qoʻyiladigan talablar yuzasidan Kompleks litsenziar subsidiar javobgar boʻladi.</w:t>
      </w:r>
    </w:p>
    <w:p>
      <w:pPr>
        <w:jc w:val="both"/>
        <w:shd w:fill="ffffff"/>
        <w:ind w:firstLine="425"/>
        <w:spacing w:after="0"/>
        <w:rPr>
          <w:color w:val="000000"/>
        </w:rPr>
      </w:pPr>
      <w:r>
        <w:rPr>
          <w:color w:val="000000"/>
        </w:rPr>
        <w:t xml:space="preserve"> 4.2. Kompleks litsenziatga Kompleks litsenziarning tovarlarini tayyorlovchi sifatida qoʻyiladigan talablar yuzasidan Kompleks litsenziar Kompleks litsenziat bilan solidar javobgar boʻladi.</w:t>
      </w:r>
    </w:p>
    <w:p>
      <w:pPr>
        <w:jc w:val="both"/>
        <w:shd w:fill="ffffff"/>
        <w:ind w:firstLine="425"/>
        <w:spacing w:after="0"/>
        <w:rPr>
          <w:color w:val="000000"/>
        </w:rPr>
      </w:pPr>
      <w:r>
        <w:rPr>
          <w:color w:val="000000"/>
        </w:rPr>
        <w:t xml:space="preserve">4.3. Taraflar oʻz majburiyatlarini bajarmagan yoki lozim darajada bajarmaganliklari uchun Oʻzbekiston Respublikasining Fuqarolik kodeksi va boshqa qonunchilik hujjatlari hamda mazkur shartnomaga muvofiq javobgar boʻladilar. </w:t>
      </w:r>
    </w:p>
    <w:p>
      <w:pPr>
        <w:jc w:val="both"/>
        <w:shd w:fill="ffffff"/>
        <w:ind w:firstLine="425"/>
        <w:spacing w:after="0"/>
        <w:rPr>
          <w:color w:val="000000"/>
        </w:rPr>
      </w:pPr>
      <w:r>
        <w:rPr>
          <w:color w:val="000000"/>
        </w:rPr>
        <w:t xml:space="preserve">4.4. Taraflar oʻrtasida kelib chiqadigan nizolar taraflarning oʻzaro kelishuvi asosida hal etiladi. Taraflar kelishuvga erishmagan taqdirda, mazkur shartnomaning tuzilishi, uning shartlarining oʻzgarishi, buzilishi, ijro etilishi, bekor boʻlishi, tugatilishi va haqiqiyligi yuzasidan kelib chiquvchi barcha nizolar, kelishmovchiliklar va talablar Oʻzbekiston Respublikasi Savdosanoat palatasi huzuridagi Hakamlik sudida uning Reglamentiga asosan hakamlik sudyasi tomonidan yakka tartibda koʻrib chiqiladi. Hakamlik sudining hal qiluv qarori taraflar uchun qatʼiy va majburiy hisoblanadi.</w:t>
      </w:r>
    </w:p>
    <w:p>
      <w:pPr>
        <w:jc w:val="both"/>
        <w:shd w:fill="ffffff"/>
        <w:ind w:firstLine="425"/>
        <w:spacing w:after="0"/>
        <w:rPr>
          <w:color w:val="000000"/>
        </w:rPr>
      </w:pPr>
      <w:r>
        <w:rPr>
          <w:color w:val="000000"/>
        </w:rPr>
        <w:t xml:space="preserve">4.5. </w:t>
      </w:r>
      <w:r>
        <w:rPr>
          <w:vanish w:val="false"/>
          <w:color w:val="000000"/>
          <w:rFonts w:ascii="Times New Roman" w:hAnsi="Times New Roman"/>
        </w:rPr>
        <w:fldChar w:fldCharType="begin"/>
        <w:instrText xml:space="preserve">X {"Y":35}</w:instrText>
        <w:fldChar w:fldCharType="separate"/>
        <w:t xml:space="preserve">Taraflarning Taraflarning boshqa javobgarliklari</w:t>
      </w:r>
      <w:r>
        <w:rPr>
          <w:vanish w:val="false"/>
          <w:color w:val="000000"/>
          <w:rFonts w:ascii="Times New Roman" w:hAnsi="Times New Roman"/>
        </w:rPr>
        <w:fldChar w:fldCharType="end"/>
      </w:r>
      <w:r>
        <w:rPr>
          <w:color w:val="000000"/>
        </w:rPr>
        <w:t>.</w:t>
      </w:r>
    </w:p>
    <w:p>
      <w:pPr>
        <w:jc w:val="both"/>
        <w:shd w:fill="ffffff"/>
        <w:ind w:firstLine="425"/>
        <w:spacing w:after="0"/>
        <w:rPr>
          <w:color w:val="000000"/>
        </w:rPr>
      </w:pPr>
    </w:p>
    <w:p>
      <w:pPr>
        <w:jc w:val="center"/>
        <w:shd w:fill="ffffff"/>
        <w:ind w:firstLine="425"/>
        <w:spacing w:after="0"/>
        <w:rPr>
          <w:b/>
          <w:color w:val="000000"/>
        </w:rPr>
      </w:pPr>
      <w:r>
        <w:rPr>
          <w:b/>
          <w:color w:val="000000"/>
        </w:rPr>
        <w:t xml:space="preserve">5. SHARTNOMANI OʻZGARTIRISH VA BEKOR QILISH TARTIBI</w:t>
      </w:r>
    </w:p>
    <w:p>
      <w:pPr>
        <w:jc w:val="both"/>
        <w:shd w:fill="ffffff"/>
        <w:ind w:firstLine="425"/>
        <w:spacing w:after="0"/>
        <w:rPr>
          <w:color w:val="000000"/>
        </w:rPr>
      </w:pPr>
      <w:r>
        <w:rPr>
          <w:color w:val="000000"/>
        </w:rPr>
        <w:t xml:space="preserve">5.1. Mazkur shartnoma taraflar imzolagan, u Kompleks litsenziarni roʻyxatga olgan organ tomonidan roʻyxatga olingan kundan boshlab kuchga kiradi. </w:t>
      </w:r>
    </w:p>
    <w:p>
      <w:pPr>
        <w:jc w:val="both"/>
        <w:shd w:fill="ffffff"/>
        <w:ind w:firstLine="425"/>
        <w:spacing w:after="0"/>
        <w:rPr>
          <w:color w:val="000000"/>
        </w:rPr>
      </w:pPr>
      <w:r>
        <w:rPr>
          <w:color w:val="000000"/>
        </w:rPr>
        <w:t xml:space="preserve">5.2. Ushbu shartnoma Oʻzbekiston Respublikasi Fuqarolik kodeksi 28-bobining qoidalariga muvofiq oʻzgartirilishi yoki bekor qilinishi mumkin. Tegishli oʻzgartishlar ushbu Kodeksning 863-moddasida belgilangan tartibda roʻyxatga olingan paytdan boshlab shartnoma oʻzgartirilgan yoki bekor qilingan deb hisoblanadi. </w:t>
      </w:r>
    </w:p>
    <w:p>
      <w:pPr>
        <w:jc w:val="both"/>
        <w:shd w:fill="ffffff"/>
        <w:ind w:firstLine="425"/>
        <w:spacing w:after="0"/>
        <w:rPr>
          <w:color w:val="000000"/>
        </w:rPr>
      </w:pPr>
      <w:r>
        <w:rPr>
          <w:color w:val="000000"/>
        </w:rPr>
        <w:t xml:space="preserve">5.3. Taraflardan har biri mazkur shartnomadan istagan vaqtda bosh tortishga haqli boʻlib, bu haqda ikkinchi tarafni olti oy oldin xabardor qilishi kerak. </w:t>
      </w:r>
    </w:p>
    <w:p>
      <w:pPr>
        <w:jc w:val="both"/>
        <w:shd w:fill="ffffff"/>
        <w:ind w:firstLine="425"/>
        <w:spacing w:after="0"/>
        <w:rPr>
          <w:color w:val="000000"/>
        </w:rPr>
      </w:pPr>
      <w:r>
        <w:rPr>
          <w:color w:val="000000"/>
        </w:rPr>
        <w:t xml:space="preserve">5.4. Litsenziya kompleksiga kirgan firma nomini yangi firma nomi bilan almashtirmasdan unga boʻlgan huquq bekor qilingan taqdirda mazkur shartnoma bekor qilinadi.</w:t>
      </w:r>
    </w:p>
    <w:p>
      <w:pPr>
        <w:jc w:val="both"/>
        <w:shd w:fill="ffffff"/>
        <w:ind w:firstLine="425"/>
        <w:spacing w:after="0"/>
        <w:rPr>
          <w:color w:val="000000"/>
        </w:rPr>
      </w:pPr>
    </w:p>
    <w:p>
      <w:pPr>
        <w:jc w:val="center"/>
        <w:shd w:fill="ffffff"/>
        <w:ind w:firstLine="425"/>
        <w:spacing w:after="0"/>
        <w:rPr>
          <w:b/>
          <w:color w:val="000000"/>
        </w:rPr>
      </w:pPr>
      <w:r>
        <w:rPr>
          <w:b/>
          <w:color w:val="000000"/>
        </w:rPr>
        <w:t xml:space="preserve">6. SHARTNOMANING BOSHQA SHARTLARI</w:t>
      </w:r>
    </w:p>
    <w:p>
      <w:pPr>
        <w:jc w:val="both"/>
        <w:shd w:fill="ffffff"/>
        <w:ind w:firstLine="425"/>
        <w:spacing w:after="0"/>
        <w:rPr>
          <w:color w:val="000000"/>
        </w:rPr>
      </w:pPr>
      <w:r>
        <w:rPr>
          <w:color w:val="000000"/>
        </w:rPr>
        <w:t xml:space="preserve">6.1. Mazkur shartnomaga Oʻzbekiston Respublikasi Fuqarolik kodeksining intellektual mulk haqidagi qoidalari tegishli suratda qoʻllanadi.</w:t>
      </w:r>
    </w:p>
    <w:p>
      <w:pPr>
        <w:jc w:val="both"/>
        <w:shd w:fill="ffffff"/>
        <w:ind w:firstLine="425"/>
        <w:spacing w:after="0"/>
        <w:rPr>
          <w:color w:val="000000"/>
        </w:rPr>
      </w:pPr>
      <w:r>
        <w:rPr>
          <w:color w:val="000000"/>
        </w:rPr>
        <w:t xml:space="preserve"> 6.2. Kompleks litsenziat Kompleks litsenziar bilan kelishgan va shartnomada belgilangan shartlarda mazkur shartnomaga koʻra unga berilgan litsenziya kompleksi yoki uning bir qismidan boshqa shaxslarning foydalanishiga ruxsat berish huquqiga ega. </w:t>
      </w:r>
    </w:p>
    <w:p>
      <w:pPr>
        <w:jc w:val="both"/>
        <w:shd w:fill="ffffff"/>
        <w:ind w:firstLine="425"/>
        <w:spacing w:after="0"/>
        <w:rPr>
          <w:color w:val="000000"/>
        </w:rPr>
      </w:pPr>
      <w:r>
        <w:rPr>
          <w:color w:val="000000"/>
        </w:rPr>
        <w:t xml:space="preserve">6.3. Litsenziya kompleksiga kiruvchi biron-bir alohida huquqning boshqa shaxsga oʻtishi mazkur shartnomani oʻzgartirish yoki bekor qilish uchun asos boʻlmaydi. Yangi Kompleks litsenziar oʻziga oʻtgan alohida huquq jumlasiga kiruvchi huquqlar va majburiyatlar boʻyicha shartnomaga kirishadi. </w:t>
      </w:r>
    </w:p>
    <w:p>
      <w:pPr>
        <w:jc w:val="both"/>
        <w:shd w:fill="ffffff"/>
        <w:ind w:firstLine="425"/>
        <w:spacing w:after="0"/>
        <w:rPr>
          <w:color w:val="000000"/>
        </w:rPr>
      </w:pPr>
      <w:r>
        <w:rPr>
          <w:color w:val="000000"/>
        </w:rPr>
        <w:t xml:space="preserve">6.4. Kompleks litsenziar oʻzining firma nomini oʻzgartirgan taqdirda, agar Kompleks litsenziat shartnomani bekor qilishni talab qilmasa, mazkur shartnoma saqlanib qoladi va Kompleks litsenziarning yangi firma nomiga nisbatan amal qiladi. Shartnomaning amal qilishi saqlanib qolgan taqdirda Kompleks litsenziat Kompleks litsenziarga tegishli boʻlgan haqni mutanosib ravishda kamaytirishni talab qilishga haqli. </w:t>
      </w:r>
    </w:p>
    <w:p>
      <w:pPr>
        <w:jc w:val="both"/>
        <w:shd w:fill="ffffff"/>
        <w:ind w:firstLine="425"/>
        <w:spacing w:after="0"/>
        <w:rPr>
          <w:color w:val="000000"/>
        </w:rPr>
      </w:pPr>
      <w:r>
        <w:rPr>
          <w:color w:val="000000"/>
        </w:rPr>
        <w:t xml:space="preserve">6.5. Agar mazkur shartnoma amal qilib turgan davrda litsenziya kompleksiga kiruvchi alohida huquqning amal qilish muddati tugasa yoki bunday huquq boshqa asosga koʻra bekor boʻlsa, shartnoma bekor boʻlgan huquqqa taalluqli qoidalarni chegirib tashlagan holda saqlanib qoladi, Kompleks litsenziat esa, Kompleks litsenziarga tegishli boʻlgan haqni mutanosib ravishda kamaytirishni talab qilishga haqli. </w:t>
      </w:r>
    </w:p>
    <w:p>
      <w:pPr>
        <w:jc w:val="both"/>
        <w:shd w:fill="ffffff"/>
        <w:ind w:firstLine="425"/>
        <w:spacing w:after="0"/>
        <w:rPr>
          <w:color w:val="000000"/>
        </w:rPr>
      </w:pPr>
      <w:r>
        <w:rPr>
          <w:color w:val="000000"/>
        </w:rPr>
        <w:t xml:space="preserve">6.6. Ushbu shartnomada nazarda tutilmagan, u bilan bogʻliq barcha munosabatlar Oʻzbekiston Respublikasining amaldagi qonunchilik hujjatlari bilan tartibga solinadi. </w:t>
      </w:r>
    </w:p>
    <w:p>
      <w:pPr>
        <w:jc w:val="both"/>
        <w:shd w:fill="ffffff"/>
        <w:ind w:firstLine="425"/>
        <w:spacing w:after="0"/>
        <w:rPr>
          <w:color w:val="000000"/>
        </w:rPr>
      </w:pPr>
      <w:r>
        <w:rPr>
          <w:color w:val="000000"/>
        </w:rPr>
        <w:t xml:space="preserve">6.7. Ushbu shartnoma ikki nusxada tuzilgan boʻlib, ikkala nusxa ham bir xil yuridik kuchga ega va taraflarga bir nusxadan beriladi.</w:t>
      </w:r>
    </w:p>
    <w:p>
      <w:pPr>
        <w:jc w:val="both"/>
        <w:shd w:fill="ffffff"/>
        <w:ind w:firstLine="425"/>
        <w:spacing w:after="0"/>
        <w:rPr>
          <w:color w:val="000000"/>
        </w:rPr>
      </w:pPr>
    </w:p>
    <w:p>
      <w:pPr>
        <w:jc w:val="center"/>
        <w:ind w:firstLine="284"/>
        <w:spacing w:after="0"/>
        <w:tabs>
          <w:tab w:val="left" w:pos="2026"/>
        </w:tabs>
      </w:pPr>
      <w:r>
        <w:rPr>
          <w:b/>
        </w:rPr>
        <w:t xml:space="preserve">7. FORS-MAJOR HOLATLARI</w:t>
      </w:r>
    </w:p>
    <w:p>
      <w:pPr>
        <w:jc w:val="both"/>
        <w:ind w:firstLine="284"/>
        <w:spacing w:after="0"/>
        <w:tabs>
          <w:tab w:val="left" w:pos="2026"/>
        </w:tabs>
      </w:pPr>
      <w:r>
        <w:t xml:space="preserve">7.1. Taraflardan biri shartnomaning yengib boʻlmaydigan kuch, yaʼni favqulodda muayyan sharoitda oldini olib boʻlmaydigan vaziyatlar (tabiiy ofatlar, noqulay ob-havo sharoiti, hukumat tadbirlari, hokimiyat organlarining qarorlari, harbiy nizolari, ichki tartibbuzarliklar va boshqa tabiiy ofatlar) fors-major tufayli bajarilmagan yoki lozim darajada bajarilmaganligini isbotlasa, javobgar boʻlmaydi.</w:t>
      </w:r>
    </w:p>
    <w:p>
      <w:pPr>
        <w:jc w:val="both"/>
        <w:ind w:firstLine="284"/>
        <w:spacing w:after="0"/>
        <w:tabs>
          <w:tab w:val="left" w:pos="2026"/>
        </w:tabs>
      </w:pPr>
      <w:r>
        <w:t xml:space="preserve">7.2. Shartnoma boʻyicha majburiyatlarni ijro etishga imkoni boʻlmagan taraf majburiyatlarning ijro etilishiga toʻsqinlik qiluvchi vaziyatlar sodir boʻlgani yoki tugaganligi haqida ikkinchi tarafga bildirishi kerak.</w:t>
      </w:r>
    </w:p>
    <w:p>
      <w:pPr>
        <w:jc w:val="both"/>
        <w:shd w:fill="ffffff"/>
        <w:ind w:firstLine="425"/>
        <w:spacing w:after="0"/>
        <w:rPr>
          <w:color w:val="000000"/>
        </w:rPr>
      </w:pPr>
    </w:p>
    <w:p>
      <w:pPr>
        <w:jc w:val="center"/>
        <w:shd w:fill="ffffff"/>
        <w:spacing w:after="0"/>
        <w:rPr>
          <w:b/>
          <w:color w:val="000000"/>
        </w:rPr>
      </w:pPr>
      <w:r>
        <w:rPr>
          <w:b/>
          <w:color w:val="000000"/>
        </w:rPr>
        <w:t xml:space="preserve">8. TARAFLARNING REKVIZITLARI VA IMZOLARI</w:t>
      </w:r>
    </w:p>
    <w:p>
      <w:pPr>
        <w:jc w:val="center"/>
        <w:shd w:fill="ffffff"/>
        <w:spacing w:after="0"/>
        <w:rPr>
          <w:b/>
          <w:color w:val="000000"/>
        </w:rPr>
      </w:pP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617"/>
        <w:gridCol w:w="1602"/>
        <w:gridCol w:w="851"/>
        <w:gridCol w:w="2924"/>
        <w:gridCol w:w="1351"/>
      </w:tblGrid>
      <w:tr>
        <w:tc>
          <w:tcPr>
            <w:tcW w:w="4219" w:type="dxa"/>
            <w:gridSpan w:val="2"/>
          </w:tcPr>
          <w:p>
            <w:pPr>
              <w:jc w:val="center"/>
              <w:spacing w:line="288" w:lineRule="auto"/>
              <w:rPr>
                <w:b/>
              </w:rPr>
            </w:pPr>
            <w:r>
              <w:rPr>
                <w:b/>
                <w:color w:val="000000"/>
              </w:rPr>
              <w:t xml:space="preserve">Kompleks litsenziar:</w:t>
            </w:r>
          </w:p>
        </w:tc>
        <w:tc>
          <w:tcPr>
            <w:tcW w:w="851" w:type="dxa"/>
          </w:tcPr>
          <w:p>
            <w:pPr>
              <w:jc w:val="center"/>
              <w:spacing w:line="288" w:lineRule="auto"/>
              <w:rPr>
                <w:b/>
              </w:rPr>
            </w:pPr>
          </w:p>
        </w:tc>
        <w:tc>
          <w:tcPr>
            <w:tcW w:w="4275" w:type="dxa"/>
            <w:gridSpan w:val="2"/>
          </w:tcPr>
          <w:p>
            <w:pPr>
              <w:jc w:val="center"/>
              <w:spacing w:line="288" w:lineRule="auto"/>
              <w:rPr>
                <w:b/>
              </w:rPr>
            </w:pPr>
            <w:r>
              <w:rPr>
                <w:b/>
              </w:rPr>
              <w:t xml:space="preserve">Kompleks litsenziat:</w:t>
            </w:r>
          </w:p>
        </w:tc>
      </w:tr>
      <w:tr>
        <w:tc>
          <w:tcPr>
            <w:tcW w:w="4219" w:type="dxa"/>
            <w:gridSpan w:val="2"/>
          </w:tcPr>
          <w:p>
            <w:pPr>
              <w:spacing w:line="288" w:lineRule="auto"/>
              <w:rPr>
                <w:b/>
              </w:rPr>
            </w:pPr>
            <w:r>
              <w:t xml:space="preserve">Manzil: </w:t>
            </w:r>
            <w:r>
              <w:rPr>
                <w:vanish w:val="false"/>
              </w:rPr>
              <w:fldChar w:fldCharType="begin"/>
              <w:instrText xml:space="preserve">X {"Y":9}</w:instrText>
              <w:fldChar w:fldCharType="separate"/>
              <w:t xml:space="preserve">Kompleks litsenziarning manzili</w:t>
            </w:r>
            <w:r>
              <w:rPr>
                <w:vanish w:val="false"/>
              </w:rPr>
              <w:fldChar w:fldCharType="end"/>
            </w:r>
          </w:p>
        </w:tc>
        <w:tc>
          <w:tcPr>
            <w:tcW w:w="851" w:type="dxa"/>
          </w:tcPr>
          <w:p>
            <w:pPr>
              <w:jc w:val="center"/>
              <w:spacing w:line="288" w:lineRule="auto"/>
              <w:rPr>
                <w:b/>
              </w:rPr>
            </w:pPr>
          </w:p>
        </w:tc>
        <w:tc>
          <w:tcPr>
            <w:tcW w:w="4275" w:type="dxa"/>
            <w:gridSpan w:val="2"/>
          </w:tcPr>
          <w:p>
            <w:pPr>
              <w:spacing w:line="288" w:lineRule="auto"/>
              <w:rPr>
                <w:b/>
              </w:rPr>
            </w:pPr>
            <w:r>
              <w:t xml:space="preserve">Manzil: </w:t>
            </w:r>
            <w:r>
              <w:rPr>
                <w:vanish w:val="false"/>
              </w:rPr>
              <w:fldChar w:fldCharType="begin"/>
              <w:instrText xml:space="preserve">X {"Y":18}</w:instrText>
              <w:fldChar w:fldCharType="separate"/>
              <w:t xml:space="preserve">Kompleks litsenziatning manzili</w:t>
            </w:r>
            <w:r>
              <w:rPr>
                <w:vanish w:val="false"/>
              </w:rPr>
              <w:fldChar w:fldCharType="end"/>
            </w:r>
          </w:p>
        </w:tc>
      </w:tr>
      <w:tr>
        <w:tc>
          <w:tcPr>
            <w:tcW w:w="4219" w:type="dxa"/>
            <w:gridSpan w:val="2"/>
          </w:tcPr>
          <w:p>
            <w:pPr>
              <w:spacing w:line="288" w:lineRule="auto"/>
              <w:rPr>
                <w:b/>
              </w:rPr>
            </w:pPr>
            <w:r>
              <w:t xml:space="preserve">Hisob raqami: </w:t>
            </w:r>
            <w:r>
              <w:rPr>
                <w:vanish w:val="false"/>
              </w:rPr>
              <w:fldChar w:fldCharType="begin"/>
              <w:instrText xml:space="preserve">X {"Y":10}</w:instrText>
              <w:fldChar w:fldCharType="separate"/>
              <w:t xml:space="preserve">Kompleks litsenziarning hisob raqami</w:t>
            </w:r>
            <w:r>
              <w:rPr>
                <w:vanish w:val="false"/>
              </w:rPr>
              <w:fldChar w:fldCharType="end"/>
            </w:r>
          </w:p>
        </w:tc>
        <w:tc>
          <w:tcPr>
            <w:tcW w:w="851" w:type="dxa"/>
          </w:tcPr>
          <w:p>
            <w:pPr>
              <w:jc w:val="center"/>
              <w:spacing w:line="288" w:lineRule="auto"/>
              <w:rPr>
                <w:b/>
              </w:rPr>
            </w:pPr>
          </w:p>
        </w:tc>
        <w:tc>
          <w:tcPr>
            <w:tcW w:w="4275" w:type="dxa"/>
            <w:gridSpan w:val="2"/>
          </w:tcPr>
          <w:p>
            <w:pPr>
              <w:spacing w:line="288" w:lineRule="auto"/>
              <w:rPr>
                <w:b/>
              </w:rPr>
            </w:pPr>
            <w:r>
              <w:t xml:space="preserve">Hisob raqami: </w:t>
            </w:r>
            <w:r>
              <w:rPr>
                <w:vanish w:val="false"/>
              </w:rPr>
              <w:fldChar w:fldCharType="begin"/>
              <w:instrText xml:space="preserve">X {"Y":19}</w:instrText>
              <w:fldChar w:fldCharType="separate"/>
              <w:t xml:space="preserve">Kompleks litsenziatning hisob raqami</w:t>
            </w:r>
            <w:r>
              <w:rPr>
                <w:vanish w:val="false"/>
              </w:rPr>
              <w:fldChar w:fldCharType="end"/>
            </w:r>
          </w:p>
        </w:tc>
      </w:tr>
      <w:tr>
        <w:tc>
          <w:tcPr>
            <w:tcW w:w="4219" w:type="dxa"/>
            <w:gridSpan w:val="2"/>
          </w:tcPr>
          <w:p>
            <w:pPr>
              <w:spacing w:line="288" w:lineRule="auto"/>
              <w:rPr>
                <w:b/>
              </w:rPr>
            </w:pPr>
            <w:r>
              <w:t xml:space="preserve">Bank :</w:t>
            </w:r>
            <w:r>
              <w:rPr>
                <w:vanish w:val="false"/>
              </w:rPr>
              <w:fldChar w:fldCharType="begin"/>
              <w:instrText xml:space="preserve">X {"Y":11}</w:instrText>
              <w:fldChar w:fldCharType="separate"/>
              <w:t xml:space="preserve">Kompleks litsenziarning pul operatsiyalarini amalga oshiruvchi bank nomi</w:t>
            </w:r>
            <w:r>
              <w:rPr>
                <w:vanish w:val="false"/>
              </w:rPr>
              <w:fldChar w:fldCharType="end"/>
            </w:r>
          </w:p>
        </w:tc>
        <w:tc>
          <w:tcPr>
            <w:tcW w:w="851" w:type="dxa"/>
          </w:tcPr>
          <w:p>
            <w:pPr>
              <w:jc w:val="center"/>
              <w:spacing w:line="288" w:lineRule="auto"/>
              <w:rPr>
                <w:b/>
              </w:rPr>
            </w:pPr>
          </w:p>
        </w:tc>
        <w:tc>
          <w:tcPr>
            <w:tcW w:w="4275" w:type="dxa"/>
            <w:gridSpan w:val="2"/>
          </w:tcPr>
          <w:p>
            <w:pPr>
              <w:spacing w:line="288" w:lineRule="auto"/>
              <w:rPr>
                <w:b/>
              </w:rPr>
            </w:pPr>
            <w:r>
              <w:t>Bank:</w:t>
            </w:r>
            <w:r>
              <w:rPr>
                <w:b/>
              </w:rPr>
              <w:t xml:space="preserve"> </w:t>
            </w:r>
            <w:r>
              <w:rPr>
                <w:vanish w:val="false"/>
              </w:rPr>
              <w:fldChar w:fldCharType="begin"/>
              <w:instrText xml:space="preserve">X {"Y":20}</w:instrText>
              <w:fldChar w:fldCharType="separate"/>
              <w:t xml:space="preserve">Kompleks litsenziatning pul operatsiyalarini amalga oshiruvchi bank nomi</w:t>
            </w:r>
            <w:r>
              <w:rPr>
                <w:vanish w:val="false"/>
              </w:rPr>
              <w:fldChar w:fldCharType="end"/>
            </w:r>
          </w:p>
        </w:tc>
      </w:tr>
      <w:tr>
        <w:tc>
          <w:tcPr>
            <w:tcW w:w="4219" w:type="dxa"/>
            <w:gridSpan w:val="2"/>
          </w:tcPr>
          <w:p>
            <w:pPr>
              <w:spacing w:line="288" w:lineRule="auto"/>
              <w:rPr>
                <w:b/>
              </w:rPr>
            </w:pPr>
            <w:r>
              <w:t xml:space="preserve">STIR: </w:t>
            </w:r>
            <w:r>
              <w:rPr>
                <w:vanish w:val="false"/>
              </w:rPr>
              <w:fldChar w:fldCharType="begin"/>
              <w:instrText xml:space="preserve">X {"Y":12}</w:instrText>
              <w:fldChar w:fldCharType="separate"/>
              <w:t xml:space="preserve">Kompleks litsenziarning STIR raqami</w:t>
            </w:r>
            <w:r>
              <w:rPr>
                <w:vanish w:val="false"/>
              </w:rPr>
              <w:fldChar w:fldCharType="end"/>
            </w:r>
          </w:p>
        </w:tc>
        <w:tc>
          <w:tcPr>
            <w:tcW w:w="851" w:type="dxa"/>
          </w:tcPr>
          <w:p>
            <w:pPr>
              <w:jc w:val="center"/>
              <w:spacing w:line="288" w:lineRule="auto"/>
              <w:rPr>
                <w:b/>
              </w:rPr>
            </w:pPr>
          </w:p>
        </w:tc>
        <w:tc>
          <w:tcPr>
            <w:tcW w:w="4275" w:type="dxa"/>
            <w:gridSpan w:val="2"/>
          </w:tcPr>
          <w:p>
            <w:pPr>
              <w:spacing w:line="288" w:lineRule="auto"/>
              <w:rPr>
                <w:b/>
              </w:rPr>
            </w:pPr>
            <w:r>
              <w:t xml:space="preserve">STIR: </w:t>
            </w:r>
            <w:r>
              <w:rPr>
                <w:vanish w:val="false"/>
              </w:rPr>
              <w:fldChar w:fldCharType="begin"/>
              <w:instrText xml:space="preserve">X {"Y":21}</w:instrText>
              <w:fldChar w:fldCharType="separate"/>
              <w:t xml:space="preserve">Kompleks litsenziatning STIR raqami</w:t>
            </w:r>
            <w:r>
              <w:rPr>
                <w:vanish w:val="false"/>
              </w:rPr>
              <w:fldChar w:fldCharType="end"/>
            </w:r>
          </w:p>
        </w:tc>
      </w:tr>
      <w:tr>
        <w:tc>
          <w:tcPr>
            <w:tcW w:w="4219" w:type="dxa"/>
            <w:gridSpan w:val="2"/>
          </w:tcPr>
          <w:p>
            <w:pPr>
              <w:spacing w:line="288" w:lineRule="auto"/>
              <w:rPr>
                <w:b/>
              </w:rPr>
            </w:pPr>
            <w:r>
              <w:t xml:space="preserve">Telefon raqami: </w:t>
            </w:r>
            <w:r>
              <w:rPr>
                <w:vanish w:val="false"/>
              </w:rPr>
              <w:fldChar w:fldCharType="begin"/>
              <w:instrText xml:space="preserve">X {"Y":13}</w:instrText>
              <w:fldChar w:fldCharType="separate"/>
              <w:t xml:space="preserve">Kompleks litsenziarning telefon raqami</w:t>
            </w:r>
            <w:r>
              <w:rPr>
                <w:vanish w:val="false"/>
              </w:rPr>
              <w:fldChar w:fldCharType="end"/>
            </w:r>
          </w:p>
        </w:tc>
        <w:tc>
          <w:tcPr>
            <w:tcW w:w="851" w:type="dxa"/>
          </w:tcPr>
          <w:p>
            <w:pPr>
              <w:jc w:val="center"/>
              <w:spacing w:line="288" w:lineRule="auto"/>
              <w:rPr>
                <w:b/>
              </w:rPr>
            </w:pPr>
          </w:p>
        </w:tc>
        <w:tc>
          <w:tcPr>
            <w:tcW w:w="4275" w:type="dxa"/>
            <w:gridSpan w:val="2"/>
          </w:tcPr>
          <w:p>
            <w:pPr>
              <w:spacing w:line="288" w:lineRule="auto"/>
              <w:rPr>
                <w:b/>
              </w:rPr>
            </w:pPr>
            <w:r>
              <w:t xml:space="preserve">Telefon raqami: </w:t>
            </w:r>
            <w:r>
              <w:rPr>
                <w:vanish w:val="false"/>
              </w:rPr>
              <w:fldChar w:fldCharType="begin"/>
              <w:instrText xml:space="preserve">X {"Y":22}</w:instrText>
              <w:fldChar w:fldCharType="separate"/>
              <w:t xml:space="preserve">Kompleks litsenziatning telefon raqami</w:t>
            </w:r>
            <w:r>
              <w:rPr>
                <w:vanish w:val="false"/>
              </w:rPr>
              <w:fldChar w:fldCharType="end"/>
            </w:r>
          </w:p>
        </w:tc>
      </w:tr>
      <w:tr>
        <w:trPr>
          <w:trHeight w:val="1557"/>
        </w:trPr>
        <w:tc>
          <w:tcPr>
            <w:tcW w:w="2617" w:type="dxa"/>
          </w:tcPr>
          <w:p>
            <w:pPr>
              <w:spacing w:line="288" w:lineRule="auto"/>
            </w:pPr>
            <w:r>
              <w:rPr>
                <w:b/>
                <w:color w:val="000000"/>
              </w:rPr>
              <w:t xml:space="preserve">Kompleks litsenziar</w:t>
            </w:r>
            <w:r>
              <w:rPr>
                <w:b/>
              </w:rPr>
              <w:t>:</w:t>
            </w:r>
            <w:r>
              <w:rPr>
                <w:vanish w:val="false"/>
              </w:rPr>
              <w:fldChar w:fldCharType="begin"/>
              <w:instrText xml:space="preserve">X {"Y":8}</w:instrText>
              <w:fldChar w:fldCharType="separate"/>
              <w:t xml:space="preserve">Kompleks litsenziar vakilining yoki direktorining lavozimi va F.I.Sh</w:t>
            </w:r>
            <w:r>
              <w:rPr>
                <w:vanish w:val="false"/>
              </w:rPr>
              <w:fldChar w:fldCharType="end"/>
            </w:r>
          </w:p>
          <w:p>
            <w:pPr>
              <w:spacing w:line="288" w:lineRule="auto"/>
              <w:rPr>
                <w:i/>
              </w:rPr>
            </w:pPr>
          </w:p>
          <w:p>
            <w:pPr>
              <w:jc w:val="center"/>
              <w:spacing w:line="288" w:lineRule="auto"/>
              <w:rPr>
                <w:b/>
              </w:rPr>
            </w:pPr>
            <w:r>
              <w:rPr>
                <w:i/>
              </w:rPr>
              <w:t>M.Oʻ.</w:t>
            </w:r>
          </w:p>
        </w:tc>
        <w:tc>
          <w:tcPr>
            <w:tcW w:w="1602" w:type="dxa"/>
          </w:tcPr>
          <w:p>
            <w:pPr>
              <w:spacing w:line="276" w:lineRule="auto"/>
              <w:rPr>
                <w:b/>
              </w:rPr>
            </w:pPr>
          </w:p>
          <w:p>
            <w:pPr>
              <w:spacing w:line="276" w:lineRule="auto"/>
            </w:pPr>
            <w:r>
              <w:t>______</w:t>
            </w:r>
          </w:p>
          <w:p>
            <w:pPr>
              <w:spacing w:line="288" w:lineRule="auto"/>
              <w:rPr>
                <w:b/>
              </w:rPr>
            </w:pPr>
            <w:r>
              <w:t>(imzo)</w:t>
            </w:r>
          </w:p>
        </w:tc>
        <w:tc>
          <w:tcPr>
            <w:tcW w:w="851" w:type="dxa"/>
          </w:tcPr>
          <w:p>
            <w:pPr>
              <w:jc w:val="center"/>
              <w:spacing w:line="288" w:lineRule="auto"/>
              <w:rPr>
                <w:b/>
              </w:rPr>
            </w:pPr>
          </w:p>
        </w:tc>
        <w:tc>
          <w:tcPr>
            <w:tcW w:w="2924" w:type="dxa"/>
          </w:tcPr>
          <w:p>
            <w:pPr>
              <w:spacing w:line="288" w:lineRule="auto"/>
              <w:rPr>
                <w:b/>
              </w:rPr>
            </w:pPr>
            <w:r>
              <w:rPr>
                <w:b/>
              </w:rPr>
              <w:t xml:space="preserve">Kompleks litsenziat: </w:t>
            </w:r>
            <w:r>
              <w:rPr>
                <w:vanish w:val="false"/>
              </w:rPr>
              <w:fldChar w:fldCharType="begin"/>
              <w:instrText xml:space="preserve">X {"Y":17}</w:instrText>
              <w:fldChar w:fldCharType="separate"/>
              <w:t xml:space="preserve">Kompleks litsenziat vakilining yoki direktorining lavozimi va F.I.Sh</w:t>
            </w:r>
            <w:r>
              <w:rPr>
                <w:vanish w:val="false"/>
              </w:rPr>
              <w:fldChar w:fldCharType="end"/>
            </w:r>
            <w:r>
              <w:t xml:space="preserve"> </w:t>
            </w:r>
          </w:p>
          <w:p>
            <w:pPr>
              <w:jc w:val="center"/>
              <w:spacing w:line="288" w:lineRule="auto"/>
              <w:rPr>
                <w:b/>
              </w:rPr>
            </w:pPr>
          </w:p>
          <w:p>
            <w:pPr>
              <w:jc w:val="center"/>
              <w:spacing w:line="288" w:lineRule="auto"/>
              <w:rPr>
                <w:b/>
              </w:rPr>
            </w:pPr>
            <w:r>
              <w:rPr>
                <w:b/>
              </w:rPr>
              <w:t xml:space="preserve"> </w:t>
            </w:r>
            <w:r>
              <w:rPr>
                <w:i/>
              </w:rPr>
              <w:t>M.Oʻ.</w:t>
            </w:r>
          </w:p>
        </w:tc>
        <w:tc>
          <w:tcPr>
            <w:tcW w:w="1351" w:type="dxa"/>
          </w:tcPr>
          <w:p>
            <w:pPr>
              <w:jc w:val="center"/>
              <w:spacing w:line="288" w:lineRule="auto"/>
            </w:pPr>
          </w:p>
          <w:p>
            <w:pPr>
              <w:jc w:val="center"/>
              <w:spacing w:line="288" w:lineRule="auto"/>
            </w:pPr>
            <w:r>
              <w:t>_____</w:t>
            </w:r>
          </w:p>
          <w:p>
            <w:pPr>
              <w:jc w:val="center"/>
              <w:spacing w:line="288" w:lineRule="auto"/>
              <w:rPr>
                <w:b/>
              </w:rPr>
            </w:pPr>
            <w:r>
              <w:t>(imzo)</w:t>
            </w:r>
          </w:p>
        </w:tc>
      </w:tr>
    </w:tbl>
    <w:p>
      <w:pPr>
        <w:jc w:val="both"/>
        <w:shd w:fill="ffffff"/>
        <w:spacing w:after="0"/>
        <w:rPr>
          <w:color w:val="000000"/>
        </w:rPr>
      </w:pPr>
    </w:p>
    <w:sectPr>
      <w:pgSz w:w="11906" w:h="16838"/>
      <w:pgMar w:left="1134" w:right="1134"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790"/>
    <w:rsid w:val="00021790"/>
    <w:rsid w:val="000236F0"/>
    <w:rsid w:val="000661B4"/>
    <w:rsid w:val="00071634"/>
    <w:rsid w:val="00083838"/>
    <w:rsid w:val="000D3D90"/>
    <w:rsid w:val="00122AC5"/>
    <w:rsid w:val="001235E4"/>
    <w:rsid w:val="0013013B"/>
    <w:rsid w:val="00151AD1"/>
    <w:rsid w:val="00187AD1"/>
    <w:rsid w:val="00192F9D"/>
    <w:rsid w:val="001F7ADD"/>
    <w:rsid w:val="00247AEF"/>
    <w:rsid w:val="00257603"/>
    <w:rsid w:val="0027679B"/>
    <w:rsid w:val="002829C1"/>
    <w:rsid w:val="002836E2"/>
    <w:rsid w:val="00283CAA"/>
    <w:rsid w:val="002B0C19"/>
    <w:rsid w:val="002B6DB5"/>
    <w:rsid w:val="002C7B15"/>
    <w:rsid w:val="002D2686"/>
    <w:rsid w:val="002D381F"/>
    <w:rsid w:val="0030164A"/>
    <w:rsid w:val="003165FD"/>
    <w:rsid w:val="00324D2C"/>
    <w:rsid w:val="003343F9"/>
    <w:rsid w:val="00340778"/>
    <w:rsid w:val="003551C7"/>
    <w:rsid w:val="003A5FA5"/>
    <w:rsid w:val="003C2B17"/>
    <w:rsid w:val="003C5FE6"/>
    <w:rsid w:val="003C78C3"/>
    <w:rsid w:val="003D286A"/>
    <w:rsid w:val="00433F4B"/>
    <w:rsid w:val="004412A6"/>
    <w:rsid w:val="00456F56"/>
    <w:rsid w:val="004A65D7"/>
    <w:rsid w:val="004A7D89"/>
    <w:rsid w:val="004C00F8"/>
    <w:rsid w:val="004C69BF"/>
    <w:rsid w:val="004F2080"/>
    <w:rsid w:val="00502660"/>
    <w:rsid w:val="005241E7"/>
    <w:rsid w:val="00533928"/>
    <w:rsid w:val="00555FE1"/>
    <w:rsid w:val="005663F8"/>
    <w:rsid w:val="00570708"/>
    <w:rsid w:val="00575FE8"/>
    <w:rsid w:val="005B2571"/>
    <w:rsid w:val="00620066"/>
    <w:rsid w:val="00655DFF"/>
    <w:rsid w:val="006828F5"/>
    <w:rsid w:val="006A7E9A"/>
    <w:rsid w:val="006B035C"/>
    <w:rsid w:val="006C6BEC"/>
    <w:rsid w:val="006D4DF2"/>
    <w:rsid w:val="006E44AD"/>
    <w:rsid w:val="006F5753"/>
    <w:rsid w:val="00700C60"/>
    <w:rsid w:val="00704851"/>
    <w:rsid w:val="00740F14"/>
    <w:rsid w:val="00755247"/>
    <w:rsid w:val="0076243B"/>
    <w:rsid w:val="007779FB"/>
    <w:rsid w:val="00785AF1"/>
    <w:rsid w:val="007A408D"/>
    <w:rsid w:val="007A6B87"/>
    <w:rsid w:val="007B2920"/>
    <w:rsid w:val="007D5080"/>
    <w:rsid w:val="007E1AF4"/>
    <w:rsid w:val="0083221C"/>
    <w:rsid w:val="008922E3"/>
    <w:rsid w:val="008934F9"/>
    <w:rsid w:val="008C7922"/>
    <w:rsid w:val="008D1F60"/>
    <w:rsid w:val="008F11BC"/>
    <w:rsid w:val="008F13BA"/>
    <w:rsid w:val="00903550"/>
    <w:rsid w:val="0091035F"/>
    <w:rsid w:val="0091350B"/>
    <w:rsid w:val="00975C3A"/>
    <w:rsid w:val="00984A66"/>
    <w:rsid w:val="00985089"/>
    <w:rsid w:val="009B5042"/>
    <w:rsid w:val="009D0ED6"/>
    <w:rsid w:val="009E0486"/>
    <w:rsid w:val="009E0894"/>
    <w:rsid w:val="009F26AF"/>
    <w:rsid w:val="00A0071B"/>
    <w:rsid w:val="00A064C9"/>
    <w:rsid w:val="00A175C4"/>
    <w:rsid w:val="00A60122"/>
    <w:rsid w:val="00A67AB6"/>
    <w:rsid w:val="00AA0659"/>
    <w:rsid w:val="00AE23C2"/>
    <w:rsid w:val="00AF3841"/>
    <w:rsid w:val="00B12F8F"/>
    <w:rsid w:val="00B14DC7"/>
    <w:rsid w:val="00B42975"/>
    <w:rsid w:val="00B50D88"/>
    <w:rsid w:val="00B66E71"/>
    <w:rsid w:val="00B95549"/>
    <w:rsid w:val="00BB1C6A"/>
    <w:rsid w:val="00C01176"/>
    <w:rsid w:val="00C40666"/>
    <w:rsid w:val="00C429C0"/>
    <w:rsid w:val="00C55D01"/>
    <w:rsid w:val="00C73D8F"/>
    <w:rsid w:val="00C75DA2"/>
    <w:rsid w:val="00C75FE3"/>
    <w:rsid w:val="00C957AF"/>
    <w:rsid w:val="00D02D2C"/>
    <w:rsid w:val="00D34E55"/>
    <w:rsid w:val="00D71486"/>
    <w:rsid w:val="00D80CD5"/>
    <w:rsid w:val="00D862CF"/>
    <w:rsid w:val="00DA4C09"/>
    <w:rsid w:val="00DB2060"/>
    <w:rsid w:val="00DB5DAB"/>
    <w:rsid w:val="00DD11BB"/>
    <w:rsid w:val="00DE08F1"/>
    <w:rsid w:val="00E2189D"/>
    <w:rsid w:val="00E23795"/>
    <w:rsid w:val="00E53D05"/>
    <w:rsid w:val="00E90DF9"/>
    <w:rsid w:val="00EB1401"/>
    <w:rsid w:val="00EF015A"/>
    <w:rsid w:val="00F504CB"/>
    <w:rsid w:val="00F52B97"/>
    <w:rsid w:val="00FA5BE0"/>
    <w:rsid w:val="00FC0362"/>
    <w:rsid w:val="00FD3B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87985D-F1BF-498E-9C4A-D9F14D4CE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B6D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1711</Words>
  <Characters>9755</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YB</dc:creator>
  <cp:keywords/>
  <dc:description/>
  <cp:lastModifiedBy>Shakarboy Goyibnazarov</cp:lastModifiedBy>
  <cp:revision>2</cp:revision>
  <dcterms:created xsi:type="dcterms:W3CDTF">2022-08-23T12:41:00Z</dcterms:created>
  <dcterms:modified xsi:type="dcterms:W3CDTF">2022-08-23T12:41:00Z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Kompleks litsenziar</w:name>
    <w:value w:hidden="true">
      <w:unit w:active="false"/>
    </w:value>
  </w:element>
  <w:element w:id="6" w:kind="variable" w:selector="check" w:type="string" w:valueMode="normal" w:required="false" w:groupID="5">
    <w:identifier xml:space="preserve">ID6</w:identifier>
    <w:name xml:space="preserve">Kompleks litsenziarning to‘liq nomi</w:name>
    <w:value w:hidden="false">
      <w:unit w:active="false"/>
    </w:value>
  </w:element>
  <w:element w:id="7" w:kind="variable" w:selector="check" w:type="string" w:valueMode="normal" w:required="false" w:groupID="5">
    <w:identifier xml:space="preserve">ID7</w:identifier>
    <w:name xml:space="preserve">Kompleks litsenziarga shartnoma tuzish huquqini beruvchi hujjat</w:name>
    <w:comment xml:space="preserve">Masalan: Ustav, Nizom yoki ishonchnoma</w:comment>
    <w:value w:hidden="false">
      <w:unit w:active="false"/>
    </w:value>
  </w:element>
  <w:element w:id="8" w:kind="variable" w:selector="check" w:type="string" w:valueMode="normal" w:required="false" w:groupID="5">
    <w:identifier xml:space="preserve">ID8</w:identifier>
    <w:name xml:space="preserve">Kompleks litsenziar vakilining yoki direktorining lavozimi va F.I.Sh</w:name>
    <w:value w:hidden="false">
      <w:unit w:active="false"/>
    </w:value>
  </w:element>
  <w:element w:id="9" w:kind="variable" w:selector="check" w:type="string" w:valueMode="normal" w:required="false" w:groupID="5">
    <w:identifier xml:space="preserve">ID9</w:identifier>
    <w:name xml:space="preserve">Kompleks litsenziarning manzili</w:name>
    <w:value w:hidden="false">
      <w:unit w:active="false"/>
    </w:value>
  </w:element>
  <w:element w:id="10" w:kind="variable" w:selector="check" w:type="string" w:valueMode="normal" w:required="false" w:groupID="5">
    <w:identifier xml:space="preserve">ID10</w:identifier>
    <w:name xml:space="preserve">Kompleks litsenziarning hisob raqami</w:name>
    <w:value w:hidden="false">
      <w:unit w:active="false"/>
    </w:value>
  </w:element>
  <w:element w:id="11" w:kind="variable" w:selector="check" w:type="string" w:valueMode="normal" w:required="false" w:groupID="5">
    <w:identifier xml:space="preserve">ID11</w:identifier>
    <w:name xml:space="preserve">Kompleks litsenziarning pul operatsiyalarini amalga oshiruvchi bank nomi</w:name>
    <w:value w:hidden="false">
      <w:unit w:active="false"/>
    </w:value>
  </w:element>
  <w:element w:id="12" w:kind="variable" w:selector="check" w:type="string" w:valueMode="normal" w:required="false" w:groupID="5">
    <w:identifier xml:space="preserve">ID12</w:identifier>
    <w:name xml:space="preserve">Kompleks litsenziarning STIR raqami</w:name>
    <w:value w:hidden="false">
      <w:unit w:active="false"/>
    </w:value>
  </w:element>
  <w:element w:id="13" w:kind="variable" w:selector="check" w:type="string" w:valueMode="normal" w:required="false" w:groupID="5">
    <w:identifier xml:space="preserve">ID13</w:identifier>
    <w:name xml:space="preserve">Kompleks litsenziarning telefon raqami</w:name>
    <w:value w:hidden="false">
      <w:unit w:active="false"/>
    </w:value>
  </w:element>
  <w:element w:id="14" w:kind="category" w:selector="check" w:type="string" w:valueMode="normal" w:required="false">
    <w:identifier xml:space="preserve">ID14</w:identifier>
    <w:name xml:space="preserve">Kompleks litsenziat</w:name>
    <w:value w:hidden="true">
      <w:unit w:active="false"/>
    </w:value>
  </w:element>
  <w:element w:id="15" w:kind="variable" w:selector="check" w:type="string" w:valueMode="normal" w:required="false" w:groupID="14">
    <w:identifier xml:space="preserve">ID15</w:identifier>
    <w:name xml:space="preserve">Kompleks litsenziatning to‘liq nomi</w:name>
    <w:value w:hidden="false">
      <w:unit w:active="false"/>
    </w:value>
  </w:element>
  <w:element w:id="16" w:kind="variable" w:selector="check" w:type="string" w:valueMode="normal" w:required="false" w:groupID="14">
    <w:identifier xml:space="preserve">ID16</w:identifier>
    <w:name xml:space="preserve">Kompleks litsenziatga shartnoma tuzish huquqini beruvchi hujjat</w:name>
    <w:comment xml:space="preserve">Masalan: Ustav, Nizom yoki ishonchnoma</w:comment>
    <w:value w:hidden="false">
      <w:unit w:active="false"/>
    </w:value>
  </w:element>
  <w:element w:id="17" w:kind="variable" w:selector="check" w:type="string" w:valueMode="normal" w:required="false" w:groupID="14">
    <w:identifier xml:space="preserve">ID17</w:identifier>
    <w:name xml:space="preserve">Kompleks litsenziat vakilining yoki direktorining lavozimi va F.I.Sh</w:name>
    <w:value w:hidden="false">
      <w:unit w:active="false"/>
    </w:value>
  </w:element>
  <w:element w:id="18" w:kind="variable" w:selector="check" w:type="string" w:valueMode="normal" w:required="false" w:groupID="14">
    <w:identifier xml:space="preserve">ID18</w:identifier>
    <w:name xml:space="preserve">Kompleks litsenziatning manzili</w:name>
    <w:value w:hidden="false">
      <w:unit w:active="false"/>
    </w:value>
  </w:element>
  <w:element w:id="19" w:kind="variable" w:selector="check" w:type="string" w:valueMode="normal" w:required="false" w:groupID="14">
    <w:identifier xml:space="preserve">ID19</w:identifier>
    <w:name xml:space="preserve">Kompleks litsenziatning hisob raqami</w:name>
    <w:value w:hidden="false">
      <w:unit w:active="false"/>
    </w:value>
  </w:element>
  <w:element w:id="20" w:kind="variable" w:selector="check" w:type="string" w:valueMode="normal" w:required="false" w:groupID="14">
    <w:identifier xml:space="preserve">ID20</w:identifier>
    <w:name xml:space="preserve">Kompleks litsenziatning pul operatsiyalarini amalga oshiruvchi bank nomi</w:name>
    <w:value w:hidden="false">
      <w:unit w:active="false"/>
    </w:value>
  </w:element>
  <w:element w:id="21" w:kind="variable" w:selector="check" w:type="string" w:valueMode="normal" w:required="false" w:groupID="14">
    <w:identifier xml:space="preserve">ID21</w:identifier>
    <w:name xml:space="preserve">Kompleks litsenziatning STIR raqami</w:name>
    <w:value w:hidden="false">
      <w:unit w:active="false"/>
    </w:value>
  </w:element>
  <w:element w:id="22" w:kind="variable" w:selector="check" w:type="string" w:valueMode="normal" w:required="false" w:groupID="14">
    <w:identifier xml:space="preserve">ID22</w:identifier>
    <w:name xml:space="preserve">Kompleks litsenziatning telefon raqami</w:name>
    <w:value w:hidden="false">
      <w:unit w:active="false"/>
    </w:value>
  </w:element>
  <w:element w:id="23" w:kind="category" w:selector="check" w:type="string" w:valueMode="normal" w:required="false">
    <w:identifier xml:space="preserve">ID23</w:identifier>
    <w:name xml:space="preserve">Shartnoma mazmuni</w:name>
    <w:value w:hidden="true">
      <w:unit w:active="false"/>
    </w:value>
  </w:element>
  <w:element w:id="24" w:kind="variable" w:selector="check" w:type="string" w:valueMode="normal" w:required="false" w:groupID="23">
    <w:identifier xml:space="preserve">ID24</w:identifier>
    <w:name xml:space="preserve">Kompleks litsenziatga  foydalanish uchun beriladigan Firma nomi (to‘liq va qisqartirilgan firma nomi)</w:name>
    <w:value w:hidden="false">
      <w:unit w:active="false"/>
    </w:value>
  </w:element>
  <w:element w:id="25" w:kind="variable" w:selector="check" w:type="string" w:valueMode="normal" w:required="false" w:groupID="23">
    <w:identifier xml:space="preserve">ID25</w:identifier>
    <w:name xml:space="preserve">Ro‘yxatga oluvchi organning nomi</w:name>
    <w:value w:hidden="false">
      <w:unit w:active="false"/>
    </w:value>
  </w:element>
  <w:element w:id="26" w:kind="variable" w:selector="check" w:type="string" w:valueMode="normal" w:required="false" w:groupID="23">
    <w:identifier xml:space="preserve">ID26</w:identifier>
    <w:name xml:space="preserve">Ro‘yxatga olingan raqami, sanasi va boshqa zarur maʼlumotlari</w:name>
    <w:value w:hidden="false">
      <w:unit w:active="false"/>
    </w:value>
  </w:element>
  <w:element w:id="27" w:kind="variable" w:selector="check" w:type="string" w:valueMode="normal" w:required="false" w:groupID="23">
    <w:identifier xml:space="preserve">ID27</w:identifier>
    <w:name xml:space="preserve">Tovar belgisining nomi guvohnomasining raqami, berilgan sanasi, amal qilish muddati</w:name>
    <w:value w:hidden="false">
      <w:unit w:active="false"/>
    </w:value>
  </w:element>
  <w:element w:id="28" w:kind="variable" w:selector="check" w:type="string" w:valueMode="normal" w:required="false" w:groupID="23">
    <w:identifier xml:space="preserve">ID28</w:identifier>
    <w:name xml:space="preserve">Foydalanish uchun beriladigan boshqa mutlaq huquqlar</w:name>
    <w:value w:hidden="false">
      <w:unit w:active="false"/>
    </w:value>
  </w:element>
  <w:element w:id="29" w:kind="variable" w:selector="check" w:type="string" w:valueMode="normal" w:required="false" w:groupID="23">
    <w:identifier xml:space="preserve">ID29</w:identifier>
    <w:name xml:space="preserve">ishlab chiqargan tovarlarni sotishda foydalaniladigan mamlakat yoki hududning nomi</w:name>
    <w:value w:hidden="false">
      <w:unit w:active="false"/>
    </w:value>
  </w:element>
  <w:element w:id="30" w:kind="variable" w:selector="check" w:type="string" w:valueMode="normal" w:required="false" w:groupID="23">
    <w:identifier xml:space="preserve">ID30</w:identifier>
    <w:name xml:space="preserve">Litsenziya kompleksi uchun to‘lanadigan haq miqdori</w:name>
    <w:value w:hidden="false">
      <w:unit w:active="false"/>
    </w:value>
  </w:element>
  <w:element w:id="31" w:kind="variable" w:selector="check" w:type="string" w:valueMode="normal" w:required="false" w:groupID="23">
    <w:identifier xml:space="preserve">ID31</w:identifier>
    <w:name xml:space="preserve">Har oyda sotilgan tovarlar bahosidan to‘lanadigan foiz miqdori</w:name>
    <w:value w:hidden="false">
      <w:unit w:active="false"/>
    </w:value>
  </w:element>
  <w:element w:id="32" w:kind="variable" w:selector="check" w:type="string" w:valueMode="normal" w:required="false" w:groupID="23">
    <w:identifier xml:space="preserve">ID32</w:identifier>
    <w:name xml:space="preserve">To‘lov shakli va usuli</w:name>
    <w:comment xml:space="preserve">Masalan: naqd pul yoki elektron shaklda</w:comment>
    <w:value w:hidden="false">
      <w:unit w:active="false"/>
    </w:value>
  </w:element>
  <w:element w:id="33" w:kind="variable" w:selector="check" w:type="string" w:valueMode="normal" w:required="false" w:groupID="23">
    <w:identifier xml:space="preserve">ID33</w:identifier>
    <w:name xml:space="preserve">Kompleks litsenziarning boshqa majburiyatlari</w:name>
    <w:value w:hidden="false">
      <w:unit w:active="false"/>
    </w:value>
  </w:element>
  <w:element w:id="34" w:kind="variable" w:selector="check" w:type="string" w:valueMode="normal" w:required="false" w:groupID="23">
    <w:identifier xml:space="preserve">ID34</w:identifier>
    <w:name xml:space="preserve">Kompleks litsenziatning boshqa majburiyatlari</w:name>
    <w:value w:hidden="false">
      <w:unit w:active="false"/>
    </w:value>
  </w:element>
  <w:element w:id="35" w:kind="variable" w:selector="check" w:type="string" w:valueMode="normal" w:required="false" w:groupID="23">
    <w:identifier xml:space="preserve">ID35</w:identifier>
    <w:name xml:space="preserve">Taraflarning Taraflarning boshqa javobgarliklari</w:name>
    <w:value w:hidden="false">
      <w:unit w:active="false"/>
    </w:value>
  </w:element>
</w:structure>
</file>