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06"/>
        <w:gridCol w:w="4839"/>
      </w:tblGrid>
      <w:tr>
        <w:tc>
          <w:tcPr>
            <w:tcW w:w="4506" w:type="dxa"/>
            <w:shd w:fill="auto"/>
          </w:tcPr>
          <w:p>
            <w:pPr>
              <w:spacing w:after="0" w:line="276" w:lineRule="auto"/>
              <w:rPr>
                <w:sz w:val="28"/>
                <w:rFonts w:ascii="Times New Roman" w:hAnsi="Times New Roman"/>
              </w:rPr>
            </w:pPr>
          </w:p>
        </w:tc>
        <w:tc>
          <w:tcPr>
            <w:tcW w:w="4839" w:type="dxa"/>
            <w:shd w:fill="auto"/>
          </w:tcPr>
          <w:p>
            <w:pPr>
              <w:jc w:val="both"/>
              <w:spacing w:after="0" w:line="276" w:lineRule="auto"/>
              <w:rPr>
                <w:b/>
                <w:sz w:val="28"/>
                <w:rFonts w:ascii="Times New Roman" w:hAnsi="Times New Roman"/>
              </w:rPr>
            </w:pPr>
            <w:r>
              <w:rPr>
                <w:b/>
                <w:sz w:val="28"/>
                <w:rFonts w:ascii="Times New Roman" w:hAnsi="Times New Roman"/>
              </w:rPr>
              <w:t xml:space="preserve">Fuqarolik ishlari boʻyicha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Ariza berilgan fuqarolik sudi nomi</w:t>
              <w:fldChar w:fldCharType="end"/>
            </w:r>
            <w:r>
              <w:rPr>
                <w:b/>
                <w:sz w:val="28"/>
                <w:rFonts w:ascii="Times New Roman" w:hAnsi="Times New Roman"/>
              </w:rPr>
              <w:t xml:space="preserve"> sudiga</w:t>
            </w:r>
          </w:p>
        </w:tc>
      </w:tr>
      <w:tr>
        <w:tc>
          <w:tcPr>
            <w:tcW w:w="4506" w:type="dxa"/>
            <w:shd w:fill="auto"/>
          </w:tcPr>
          <w:p>
            <w:pPr>
              <w:spacing w:after="0" w:line="276" w:lineRule="auto"/>
              <w:rPr>
                <w:sz w:val="28"/>
                <w:rFonts w:ascii="Times New Roman" w:hAnsi="Times New Roman"/>
              </w:rPr>
            </w:pPr>
          </w:p>
        </w:tc>
        <w:tc>
          <w:tcPr>
            <w:tcW w:w="4839" w:type="dxa"/>
            <w:shd w:fill="auto"/>
          </w:tcPr>
          <w:p>
            <w:pPr>
              <w:jc w:val="both"/>
              <w:spacing w:after="0" w:line="276" w:lineRule="auto"/>
              <w:rPr>
                <w:sz w:val="28"/>
                <w:rFonts w:ascii="Times New Roman" w:hAnsi="Times New Roman"/>
              </w:rPr>
            </w:pPr>
            <w:r>
              <w:rPr>
                <w:b/>
                <w:sz w:val="28"/>
                <w:rFonts w:ascii="Times New Roman" w:hAnsi="Times New Roman"/>
              </w:rPr>
              <w:t xml:space="preserve">Daʼvogar: </w:t>
            </w:r>
            <w:r>
              <w:rPr>
                <w:vanish w:val="false"/>
                <w:sz w:val="28"/>
                <w:rFonts w:ascii="Times New Roman" w:hAnsi="Times New Roman"/>
              </w:rPr>
              <w:fldChar w:fldCharType="begin"/>
              <w:instrText xml:space="preserve">X {"Y":5}</w:instrText>
              <w:fldChar w:fldCharType="separate"/>
            </w:r>
            <w:r>
              <w:rPr>
                <w:vanish w:val="false"/>
                <w:sz w:val="28"/>
                <w:rFonts w:ascii="Times New Roman" w:hAnsi="Times New Roman"/>
              </w:rPr>
              <w:t xml:space="preserve">Daʼvogar shaxsning yashash manzili</w:t>
              <w:fldChar w:fldCharType="end"/>
            </w:r>
            <w:r>
              <w:rPr>
                <w:sz w:val="28"/>
                <w:rFonts w:ascii="Times New Roman" w:hAnsi="Times New Roman"/>
              </w:rPr>
              <w:t xml:space="preserve">da yashovchi</w:t>
            </w:r>
          </w:p>
        </w:tc>
      </w:tr>
      <w:tr>
        <w:trPr>
          <w:trHeight w:val="378"/>
        </w:trPr>
        <w:tc>
          <w:tcPr>
            <w:tcW w:w="4506" w:type="dxa"/>
            <w:shd w:fill="auto"/>
          </w:tcPr>
          <w:p>
            <w:pPr>
              <w:spacing w:after="0" w:line="276" w:lineRule="auto"/>
              <w:rPr>
                <w:sz w:val="28"/>
                <w:rFonts w:ascii="Times New Roman" w:hAnsi="Times New Roman"/>
              </w:rPr>
            </w:pPr>
          </w:p>
        </w:tc>
        <w:tc>
          <w:tcPr>
            <w:tcW w:w="4839" w:type="dxa"/>
            <w:shd w:fill="auto"/>
          </w:tcPr>
          <w:p>
            <w:pPr>
              <w:jc w:val="both"/>
              <w:spacing w:after="0" w:line="276" w:lineRule="auto"/>
              <w:rPr>
                <w:sz w:val="28"/>
                <w:rFonts w:ascii="Times New Roman" w:hAnsi="Times New Roman"/>
              </w:rPr>
            </w:pPr>
            <w:r>
              <w:rPr>
                <w:sz w:val="28"/>
                <w:rFonts w:ascii="Times New Roman" w:hAnsi="Times New Roman"/>
              </w:rPr>
              <w:t xml:space="preserve"> </w:t>
            </w: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Daʼvogar shaxsning F.I.O.si</w:t>
              <w:fldChar w:fldCharType="end"/>
            </w:r>
          </w:p>
          <w:p>
            <w:pPr>
              <w:jc w:val="both"/>
              <w:spacing w:after="0" w:line="276" w:lineRule="auto"/>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Daʼvogar tarafning telefon raqami</w:t>
              <w:fldChar w:fldCharType="end"/>
            </w:r>
          </w:p>
          <w:p>
            <w:pPr>
              <w:jc w:val="both"/>
              <w:spacing w:after="0" w:line="276" w:lineRule="auto"/>
              <w:rPr>
                <w:sz w:val="28"/>
                <w:rFonts w:ascii="Times New Roman" w:hAnsi="Times New Roman"/>
              </w:rPr>
            </w:pPr>
            <w:r>
              <w:rPr>
                <w:sz w:val="28"/>
                <w:rFonts w:ascii="Times New Roman" w:hAnsi="Times New Roman"/>
              </w:rPr>
              <w:t xml:space="preserve">Elektron pochta manzili: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Daʼvogar tarafning elektron pochta manzili</w:t>
              <w:fldChar w:fldCharType="end"/>
            </w:r>
          </w:p>
        </w:tc>
      </w:tr>
      <w:tr>
        <w:trPr>
          <w:trHeight w:val="378"/>
        </w:trPr>
        <w:tc>
          <w:tcPr>
            <w:tcW w:w="4506" w:type="dxa"/>
            <w:shd w:fill="auto"/>
          </w:tcPr>
          <w:p>
            <w:pPr>
              <w:spacing w:after="0" w:line="276" w:lineRule="auto"/>
              <w:rPr>
                <w:sz w:val="28"/>
                <w:rFonts w:ascii="Times New Roman" w:hAnsi="Times New Roman"/>
              </w:rPr>
            </w:pPr>
          </w:p>
        </w:tc>
        <w:tc>
          <w:tcPr>
            <w:tcW w:w="4839" w:type="dxa"/>
            <w:shd w:fill="auto"/>
          </w:tcPr>
          <w:p>
            <w:pPr>
              <w:jc w:val="both"/>
              <w:spacing w:after="0" w:line="276" w:lineRule="auto"/>
              <w:rPr>
                <w:sz w:val="28"/>
                <w:rFonts w:ascii="Times New Roman" w:hAnsi="Times New Roman"/>
              </w:rPr>
            </w:pPr>
            <w:r>
              <w:rPr>
                <w:b/>
                <w:sz w:val="28"/>
                <w:rFonts w:ascii="Times New Roman" w:hAnsi="Times New Roman"/>
              </w:rPr>
              <w:t xml:space="preserve">Daʼvo mazmuni:</w:t>
            </w:r>
            <w:r>
              <w:rPr>
                <w:sz w:val="28"/>
                <w:rFonts w:ascii="Times New Roman" w:hAnsi="Times New Roman"/>
              </w:rPr>
              <w:t xml:space="preserve">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Vafot etgan deb topilishi so‘ralayotgan shaxsning daʼvogar bilan qarindoshlik aloqasi</w:t>
              <w:fldChar w:fldCharType="end"/>
            </w:r>
            <w:r>
              <w:rPr>
                <w:sz w:val="28"/>
                <w:rFonts w:ascii="Times New Roman" w:hAnsi="Times New Roman"/>
              </w:rPr>
              <w:t xml:space="preserve">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Vafot etgan deb topilishi so‘ralayotgan shaxsning F.I.O.si</w:t>
              <w:fldChar w:fldCharType="end"/>
            </w:r>
            <w:r>
              <w:rPr>
                <w:sz w:val="28"/>
                <w:rFonts w:ascii="Times New Roman" w:hAnsi="Times New Roman"/>
              </w:rPr>
              <w:t xml:space="preserve">ni vafot etgan deb topish toʻgʻrisida</w:t>
            </w:r>
          </w:p>
        </w:tc>
      </w:tr>
    </w:tbl>
    <w:p>
      <w:pPr>
        <w:jc w:val="center"/>
        <w:ind w:firstLine="425"/>
        <w:spacing w:after="0" w:line="276" w:lineRule="auto"/>
        <w:rPr>
          <w:b/>
          <w:sz w:val="28"/>
          <w:rFonts w:ascii="Times New Roman" w:hAnsi="Times New Roman"/>
        </w:rPr>
      </w:pPr>
    </w:p>
    <w:p>
      <w:pPr>
        <w:jc w:val="center"/>
        <w:ind w:firstLine="425"/>
        <w:spacing w:after="0" w:line="276" w:lineRule="auto"/>
        <w:rPr>
          <w:b/>
          <w:sz w:val="28"/>
          <w:rFonts w:ascii="Times New Roman" w:hAnsi="Times New Roman"/>
        </w:rPr>
      </w:pPr>
      <w:r>
        <w:rPr>
          <w:b/>
          <w:sz w:val="28"/>
          <w:rFonts w:ascii="Times New Roman" w:hAnsi="Times New Roman"/>
        </w:rPr>
        <w:t xml:space="preserve">D A ʼ V O A R I Z A</w:t>
      </w:r>
    </w:p>
    <w:p>
      <w:pPr>
        <w:jc w:val="center"/>
        <w:ind w:firstLine="425"/>
        <w:spacing w:after="0" w:line="276" w:lineRule="auto"/>
        <w:rPr>
          <w:sz w:val="28"/>
          <w:rFonts w:ascii="Times New Roman" w:hAnsi="Times New Roman"/>
        </w:rPr>
      </w:pP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Vafot etgan deb topilishi so‘ralayotgan shaxsning daʼvogar bilan qarindoshlik aloqasi</w:t>
        <w:fldChar w:fldCharType="end"/>
      </w:r>
      <w:r>
        <w:rPr>
          <w:sz w:val="28"/>
          <w:rFonts w:ascii="Times New Roman" w:hAnsi="Times New Roman"/>
        </w:rPr>
        <w:t xml:space="preserve">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Vafot etgan deb topilishi so‘ralayotgan shaxsning F.I.O.si</w:t>
        <w:fldChar w:fldCharType="end"/>
      </w:r>
      <w:r>
        <w:rPr>
          <w:sz w:val="28"/>
          <w:rFonts w:ascii="Times New Roman" w:hAnsi="Times New Roman"/>
        </w:rPr>
        <w:t xml:space="preserve">ni vafot etgan deb topish toʻgʻrisida)</w:t>
      </w:r>
    </w:p>
    <w:p>
      <w:pPr>
        <w:jc w:val="center"/>
        <w:ind w:firstLine="425"/>
        <w:spacing w:after="0" w:line="276" w:lineRule="auto"/>
        <w:rPr>
          <w:sz w:val="28"/>
          <w:rFonts w:ascii="Times New Roman" w:hAnsi="Times New Roman"/>
        </w:rPr>
      </w:pPr>
    </w:p>
    <w:p>
      <w:pPr>
        <w:jc w:val="both"/>
        <w:ind w:firstLine="709"/>
        <w:spacing w:after="0" w:line="276" w:lineRule="auto"/>
        <w:rPr>
          <w:sz w:val="28"/>
          <w:rFonts w:ascii="Times New Roman" w:hAnsi="Times New Roman"/>
        </w:rPr>
      </w:pPr>
      <w:r>
        <w:rPr>
          <w:sz w:val="28"/>
          <w:rFonts w:ascii="Times New Roman" w:hAnsi="Times New Roman"/>
        </w:rPr>
        <w:t xml:space="preserve">Men yuqoridagi manzilda oila aʼzolarim bilan birga yashab kelaman. Shu manzilda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Vafot etgan deb topilishi so‘ralayotgan shaxsning tug‘ilgan sanasi</w:t>
        <w:fldChar w:fldCharType="end"/>
      </w:r>
      <w:r>
        <w:rPr>
          <w:sz w:val="28"/>
          <w:rFonts w:ascii="Times New Roman" w:hAnsi="Times New Roman"/>
        </w:rPr>
        <w:t xml:space="preserve"> da tugʻilgan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Vafot etgan deb topilishi so‘ralayotgan shaxsning daʼvogar bilan qarindoshlik aloqasi</w:t>
        <w:fldChar w:fldCharType="end"/>
      </w:r>
      <w:r>
        <w:rPr>
          <w:sz w:val="28"/>
          <w:rFonts w:ascii="Times New Roman" w:hAnsi="Times New Roman"/>
        </w:rPr>
        <w:t xml:space="preserve">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Vafot etgan deb topilishi so‘ralayotgan shaxsning F.I.O.si</w:t>
        <w:fldChar w:fldCharType="end"/>
      </w:r>
      <w:r>
        <w:rPr>
          <w:sz w:val="28"/>
          <w:rFonts w:ascii="Times New Roman" w:hAnsi="Times New Roman"/>
        </w:rPr>
        <w:t xml:space="preserve">ham yashab kelgan.</w:t>
      </w:r>
    </w:p>
    <w:p>
      <w:pPr>
        <w:jc w:val="both"/>
        <w:ind w:firstLine="709"/>
        <w:spacing w:after="0" w:line="276" w:lineRule="auto"/>
        <w:rPr>
          <w:sz w:val="28"/>
          <w:rFonts w:ascii="Times New Roman" w:hAnsi="Times New Roman"/>
        </w:rPr>
      </w:pPr>
      <w:r>
        <w:rPr>
          <w:sz w:val="28"/>
          <w:rFonts w:ascii="Times New Roman" w:hAnsi="Times New Roman"/>
        </w:rPr>
        <w:t xml:space="preserve">Ammo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Vafot etgan deb topilishi so‘ralayotgan shaxsning daʼvogar bilan qarindoshlik aloqasi</w:t>
        <w:fldChar w:fldCharType="end"/>
      </w:r>
      <w:r>
        <w:rPr>
          <w:sz w:val="28"/>
          <w:rFonts w:ascii="Times New Roman" w:hAnsi="Times New Roman"/>
        </w:rPr>
        <w:t xml:space="preserve">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Vafot etgan deb topilishi so‘ralayotgan shaxsning F.I.O.si</w:t>
        <w:fldChar w:fldCharType="end"/>
      </w:r>
      <w:r>
        <w:rPr>
          <w:sz w:val="28"/>
          <w:rFonts w:ascii="Times New Roman" w:hAnsi="Times New Roman"/>
        </w:rPr>
        <w:t xml:space="preserve">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Vafot etgan deb topilishi so‘ralayotgan shaxsning oxirgi marta uydan chiqib ketgan sanasi</w:t>
        <w:fldChar w:fldCharType="end"/>
      </w:r>
      <w:r>
        <w:rPr>
          <w:sz w:val="28"/>
          <w:rFonts w:ascii="Times New Roman" w:hAnsi="Times New Roman"/>
        </w:rPr>
        <w:t xml:space="preserve"> kuni uydan chiqib ketib, shundan beri uyga qaytib kelmadi.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Vafot etgan deb topilishi so‘ralayotgan shaxsning F.I.O.si</w:t>
        <w:fldChar w:fldCharType="end"/>
      </w:r>
      <w:r>
        <w:rPr>
          <w:sz w:val="28"/>
          <w:rFonts w:ascii="Times New Roman" w:hAnsi="Times New Roman"/>
        </w:rPr>
        <w:t xml:space="preserve">ni qidirish boʻyicha koʻrilgan choralar natija bermadi (tasdiqlovchi hujjatlar ilova qilinadi).</w:t>
      </w:r>
    </w:p>
    <w:p>
      <w:pPr>
        <w:jc w:val="both"/>
        <w:ind w:firstLine="709"/>
        <w:spacing w:after="0" w:line="276" w:lineRule="auto"/>
        <w:rPr>
          <w:sz w:val="28"/>
          <w:rFonts w:ascii="Times New Roman" w:hAnsi="Times New Roman"/>
        </w:rPr>
      </w:pPr>
      <w:r>
        <w:rPr>
          <w:sz w:val="28"/>
          <w:rFonts w:ascii="Times New Roman" w:hAnsi="Times New Roman"/>
        </w:rPr>
        <w:t xml:space="preserve">Oʻzbekiston Respublikasi Fuqarolik kodeksining 36-moddasiga koʻra, Agar fuqaroning qayerda turganligi haqida uning yashash joyida uch yil mobaynida maʼlumot boʻlmasa, basharti u oʻlim xavf solib turgan yoki muayyan baxtsiz hodisadan halok boʻlgan deb taxmin qilish uchun asos boʻladigan vaziyatlarda bedarak yoʻqolgan boʻlib, uning qayerdaligi haqida olti oy mobaynida maʼlumotlar boʻlmasa, manfaatdor shaxslarning arizasiga muvofiq sud uni vafot etgan deb eʼlon qilishi mumkin. </w:t>
      </w:r>
    </w:p>
    <w:p>
      <w:pPr>
        <w:jc w:val="both"/>
        <w:ind w:firstLine="709"/>
        <w:spacing w:after="0" w:line="276" w:lineRule="auto"/>
        <w:rPr>
          <w:sz w:val="28"/>
          <w:rFonts w:ascii="Times New Roman" w:hAnsi="Times New Roman"/>
        </w:rPr>
      </w:pPr>
      <w:r>
        <w:rPr>
          <w:sz w:val="28"/>
          <w:rFonts w:ascii="Times New Roman" w:hAnsi="Times New Roman"/>
        </w:rPr>
        <w:t xml:space="preserve">Fuqarolik protsessual kodeksi 293-moddasi birinchi qismi uchinchi bandiga koʻra, fuqaroni vafot etgan deb topish sud tomonidan alohida koʻrib chiqiladigan ishlar jumlasiga kiradi.</w:t>
      </w:r>
    </w:p>
    <w:p>
      <w:pPr>
        <w:jc w:val="both"/>
        <w:ind w:firstLine="709"/>
        <w:spacing w:after="0" w:line="276" w:lineRule="auto"/>
        <w:rPr>
          <w:sz w:val="28"/>
          <w:rFonts w:ascii="Times New Roman" w:hAnsi="Times New Roman"/>
        </w:rPr>
      </w:pPr>
      <w:r>
        <w:rPr>
          <w:sz w:val="28"/>
          <w:rFonts w:ascii="Times New Roman" w:hAnsi="Times New Roman"/>
        </w:rPr>
        <w:t xml:space="preserve">Hozirda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Fuqaroni bedarak yo‘qolgan deb topish nima sababdan zarur bo‘lganligi</w:t>
        <w:fldChar w:fldCharType="end"/>
      </w:r>
      <w:r>
        <w:rPr>
          <w:sz w:val="28"/>
          <w:rFonts w:ascii="Times New Roman" w:hAnsi="Times New Roman"/>
        </w:rPr>
        <w:t xml:space="preserve"> sababli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Vafot etgan deb topilishi so‘ralayotgan shaxsning F.I.O.si</w:t>
        <w:fldChar w:fldCharType="end"/>
      </w:r>
      <w:r>
        <w:rPr>
          <w:sz w:val="28"/>
          <w:rFonts w:ascii="Times New Roman" w:hAnsi="Times New Roman"/>
        </w:rPr>
        <w:t xml:space="preserve">ni vafot etgan deb topish zarurati kelib chiqmoqda. </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Qayd qilingan holatlar va qonun talabidan kelib chiqib, </w:t>
      </w:r>
      <w:r>
        <w:rPr>
          <w:color w:val="000000"/>
          <w:sz w:val="28"/>
          <w:rFonts w:ascii="Times New Roman" w:hAnsi="Times New Roman"/>
        </w:rPr>
        <w:t xml:space="preserve">Oʻzbekiston Respublikasi </w:t>
      </w:r>
      <w:r>
        <w:rPr>
          <w:sz w:val="28"/>
          <w:rFonts w:ascii="Times New Roman" w:hAnsi="Times New Roman"/>
        </w:rPr>
        <w:t xml:space="preserve">Fuqarolik protsessual kodeksining 188, 189-191 va 293-moddalari,</w:t>
      </w:r>
      <w:r>
        <w:rPr>
          <w:color w:val="000000"/>
          <w:sz w:val="28"/>
          <w:rFonts w:ascii="Times New Roman" w:hAnsi="Times New Roman"/>
        </w:rPr>
        <w:t xml:space="preserve"> Oʻzbekiston Respublikasi Fuqarolik kodeksining 36-moddasiga, asosan</w:t>
      </w:r>
    </w:p>
    <w:p>
      <w:pPr>
        <w:pStyle w:val="ConsPlusNonformat"/>
        <w:jc w:val="center"/>
        <w:ind w:firstLine="709"/>
        <w:spacing w:line="276" w:lineRule="auto"/>
        <w:rPr>
          <w:b/>
          <w:sz w:val="28"/>
          <w:rFonts w:ascii="Times New Roman" w:hAnsi="Times New Roman"/>
        </w:rPr>
      </w:pPr>
      <w:r>
        <w:rPr>
          <w:b/>
          <w:sz w:val="28"/>
          <w:rFonts w:ascii="Times New Roman" w:hAnsi="Times New Roman"/>
        </w:rPr>
        <w:t>SOʻRAYMAN:</w:t>
      </w:r>
    </w:p>
    <w:p>
      <w:pPr>
        <w:pStyle w:val="ConsPlusNonformat"/>
        <w:jc w:val="center"/>
        <w:ind w:firstLine="709"/>
        <w:spacing w:line="276" w:lineRule="auto"/>
        <w:rPr>
          <w:b/>
          <w:sz w:val="28"/>
          <w:rFonts w:ascii="Times New Roman" w:hAnsi="Times New Roman"/>
        </w:rPr>
      </w:pPr>
    </w:p>
    <w:p>
      <w:pPr>
        <w:jc w:val="both"/>
        <w:ind w:firstLine="709"/>
        <w:spacing w:after="0" w:line="276" w:lineRule="auto"/>
        <w:rPr>
          <w:sz w:val="28"/>
          <w:rFonts w:ascii="Times New Roman" w:hAnsi="Times New Roman"/>
        </w:rPr>
      </w:pP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Vafot etgan deb topilishi so‘ralayotgan shaxsning tug‘ilgan sanasi</w:t>
        <w:fldChar w:fldCharType="end"/>
      </w:r>
      <w:r>
        <w:rPr>
          <w:sz w:val="28"/>
          <w:rFonts w:ascii="Times New Roman" w:hAnsi="Times New Roman"/>
        </w:rPr>
        <w:t xml:space="preserve">ni vafot etgan deb topishingizni soʻrayman.</w:t>
      </w:r>
    </w:p>
    <w:p>
      <w:pPr>
        <w:jc w:val="both"/>
        <w:ind w:firstLine="708"/>
        <w:spacing w:after="0" w:line="276" w:lineRule="auto"/>
        <w:rPr>
          <w:sz w:val="28"/>
          <w:rFonts w:ascii="Times New Roman" w:hAnsi="Times New Roman"/>
        </w:rPr>
      </w:pPr>
    </w:p>
    <w:p>
      <w:pPr>
        <w:jc w:val="both"/>
        <w:ind w:firstLine="708"/>
        <w:spacing w:after="0" w:line="276" w:lineRule="auto"/>
        <w:rPr>
          <w:sz w:val="28"/>
          <w:rFonts w:ascii="Times New Roman" w:hAnsi="Times New Roman"/>
        </w:rPr>
      </w:pPr>
    </w:p>
    <w:p>
      <w:pPr>
        <w:jc w:val="both"/>
        <w:ind w:firstLine="708"/>
        <w:spacing w:after="0" w:line="276" w:lineRule="auto"/>
        <w:rPr>
          <w:sz w:val="28"/>
          <w:rFonts w:ascii="Times New Roman" w:hAnsi="Times New Roman"/>
        </w:rPr>
      </w:pPr>
      <w:r>
        <w:rPr>
          <w:b/>
          <w:sz w:val="28"/>
          <w:rFonts w:ascii="Times New Roman" w:hAnsi="Times New Roman"/>
        </w:rPr>
        <w:t xml:space="preserve">Ilova qilingan hujjatlar:</w:t>
      </w:r>
      <w:r>
        <w:rPr>
          <w:sz w:val="28"/>
          <w:rFonts w:ascii="Times New Roman" w:hAnsi="Times New Roman"/>
        </w:rPr>
        <w:t xml:space="preserve"> </w:t>
      </w:r>
    </w:p>
    <w:p>
      <w:pPr>
        <w:pStyle w:val="ConsPlusNonformat"/>
        <w:jc w:val="both"/>
        <w:ind w:firstLine="567"/>
        <w:spacing w:line="276" w:lineRule="auto"/>
        <w:rPr>
          <w:sz w:val="28"/>
          <w:rFonts w:ascii="Times New Roman" w:hAnsi="Times New Roman"/>
        </w:rPr>
      </w:pPr>
      <w:r>
        <w:rPr>
          <w:sz w:val="28"/>
          <w:rFonts w:ascii="Times New Roman" w:hAnsi="Times New Roman"/>
        </w:rPr>
        <w:t xml:space="preserve">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Daʼvo arizasiga ilova qilinadigan hujjatlar ro‘yxati</w:t>
        <w:fldChar w:fldCharType="end"/>
      </w:r>
    </w:p>
    <w:p>
      <w:pPr>
        <w:pStyle w:val="ConsPlusNonformat"/>
        <w:jc w:val="both"/>
        <w:spacing w:line="276" w:lineRule="auto"/>
        <w:rPr>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065"/>
        <w:gridCol w:w="3255"/>
        <w:gridCol w:w="3035"/>
      </w:tblGrid>
      <w:tr>
        <w:tc>
          <w:tcPr>
            <w:tcW w:w="3379" w:type="dxa"/>
          </w:tcPr>
          <w:p>
            <w:pPr>
              <w:pStyle w:val="ConsPlusNonformat"/>
              <w:jc w:val="both"/>
              <w:spacing w:line="276" w:lineRule="auto"/>
              <w:rPr>
                <w:b/>
                <w:sz w:val="28"/>
                <w:rFonts w:ascii="Times New Roman" w:hAnsi="Times New Roman"/>
              </w:rPr>
            </w:pPr>
            <w:r>
              <w:rPr>
                <w:b/>
                <w:sz w:val="28"/>
                <w:rFonts w:ascii="Times New Roman" w:hAnsi="Times New Roman"/>
              </w:rPr>
              <w:t xml:space="preserve">Daʼvogar   </w:t>
            </w: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Daʼvogar shaxsning F.I.O.si</w:t>
              <w:fldChar w:fldCharType="end"/>
            </w:r>
          </w:p>
        </w:tc>
        <w:tc>
          <w:tcPr>
            <w:tcW w:w="3379" w:type="dxa"/>
          </w:tcPr>
          <w:p>
            <w:pPr>
              <w:pStyle w:val="ConsPlusNonformat"/>
              <w:jc w:val="both"/>
              <w:spacing w:line="276" w:lineRule="auto"/>
              <w:rPr>
                <w:b/>
                <w:sz w:val="28"/>
                <w:rFonts w:ascii="Times New Roman" w:hAnsi="Times New Roman"/>
              </w:rPr>
            </w:pPr>
            <w:r>
              <w:rPr>
                <w:b/>
                <w:sz w:val="28"/>
                <w:rFonts w:ascii="Times New Roman" w:hAnsi="Times New Roman"/>
              </w:rPr>
              <w:t>_________________</w:t>
            </w:r>
          </w:p>
        </w:tc>
        <w:tc>
          <w:tcPr>
            <w:tcW w:w="3379" w:type="dxa"/>
          </w:tcPr>
          <w:p>
            <w:pPr>
              <w:pStyle w:val="ConsPlusNonformat"/>
              <w:jc w:val="both"/>
              <w:spacing w:line="276" w:lineRule="auto"/>
              <w:rPr>
                <w:b/>
                <w:sz w:val="28"/>
                <w:rFonts w:ascii="Times New Roman" w:hAnsi="Times New Roman"/>
              </w:rPr>
            </w:pPr>
          </w:p>
        </w:tc>
      </w:tr>
      <w:tr>
        <w:tc>
          <w:tcPr>
            <w:tcW w:w="3379" w:type="dxa"/>
          </w:tcPr>
          <w:p>
            <w:pPr>
              <w:pStyle w:val="ConsPlusNonformat"/>
              <w:jc w:val="both"/>
              <w:spacing w:line="276" w:lineRule="auto"/>
              <w:rPr>
                <w:b/>
                <w:sz w:val="28"/>
                <w:rFonts w:ascii="Times New Roman" w:hAnsi="Times New Roman"/>
              </w:rPr>
            </w:pPr>
          </w:p>
        </w:tc>
        <w:tc>
          <w:tcPr>
            <w:tcW w:w="3379" w:type="dxa"/>
          </w:tcPr>
          <w:p>
            <w:pPr>
              <w:pStyle w:val="ConsPlusNonformat"/>
              <w:jc w:val="center"/>
              <w:spacing w:line="276" w:lineRule="auto"/>
              <w:rPr>
                <w:sz w:val="24"/>
                <w:rFonts w:ascii="Times New Roman" w:hAnsi="Times New Roman"/>
              </w:rPr>
            </w:pPr>
            <w:r>
              <w:rPr>
                <w:sz w:val="24"/>
                <w:rFonts w:ascii="Times New Roman" w:hAnsi="Times New Roman"/>
              </w:rPr>
              <w:t>(imzo)</w:t>
            </w:r>
          </w:p>
        </w:tc>
        <w:tc>
          <w:tcPr>
            <w:tcW w:w="3379" w:type="dxa"/>
          </w:tcPr>
          <w:p>
            <w:pPr>
              <w:pStyle w:val="ConsPlusNonformat"/>
              <w:jc w:val="both"/>
              <w:spacing w:line="276" w:lineRule="auto"/>
              <w:rPr>
                <w:b/>
                <w:sz w:val="28"/>
                <w:rFonts w:ascii="Times New Roman" w:hAnsi="Times New Roman"/>
              </w:rPr>
            </w:pPr>
          </w:p>
        </w:tc>
      </w:tr>
      <w:tr>
        <w:tc>
          <w:tcPr>
            <w:tcW w:w="3379" w:type="dxa"/>
          </w:tcPr>
          <w:p>
            <w:pPr>
              <w:pStyle w:val="ConsPlusNonformat"/>
              <w:jc w:val="both"/>
              <w:spacing w:line="276" w:lineRule="auto"/>
              <w:rPr>
                <w:b/>
                <w:sz w:val="28"/>
                <w:rFonts w:ascii="Times New Roman" w:hAnsi="Times New Roman"/>
              </w:rPr>
            </w:pPr>
          </w:p>
        </w:tc>
        <w:tc>
          <w:tcPr>
            <w:tcW w:w="3379" w:type="dxa"/>
          </w:tcPr>
          <w:p>
            <w:pPr>
              <w:pStyle w:val="ConsPlusNonformat"/>
              <w:jc w:val="center"/>
              <w:spacing w:line="276" w:lineRule="auto"/>
              <w:rPr>
                <w:sz w:val="24"/>
                <w:rFonts w:ascii="Times New Roman" w:hAnsi="Times New Roman"/>
              </w:rPr>
            </w:pPr>
          </w:p>
        </w:tc>
        <w:tc>
          <w:tcPr>
            <w:tcW w:w="3379" w:type="dxa"/>
          </w:tcPr>
          <w:p>
            <w:pPr>
              <w:pStyle w:val="ConsPlusNonformat"/>
              <w:jc w:val="right"/>
              <w:spacing w:line="276" w:lineRule="auto"/>
              <w:rPr>
                <w:b/>
                <w:sz w:val="28"/>
                <w:rFonts w:ascii="Times New Roman" w:hAnsi="Times New Roman"/>
              </w:rPr>
            </w:pPr>
            <w:r>
              <w:rPr>
                <w:b/>
                <w:sz w:val="28"/>
                <w:rFonts w:ascii="Times New Roman" w:hAnsi="Times New Roman"/>
              </w:rPr>
              <w:t xml:space="preserve"> </w:t>
            </w:r>
            <w:r>
              <w:rPr>
                <w:b/>
                <w:vanish w:val="false"/>
                <w:sz w:val="28"/>
                <w:rFonts w:ascii="Times New Roman" w:hAnsi="Times New Roman"/>
              </w:rPr>
              <w:fldChar w:fldCharType="begin"/>
              <w:instrText xml:space="preserve">X {"Y":3}</w:instrText>
              <w:fldChar w:fldCharType="separate"/>
            </w:r>
            <w:r>
              <w:rPr>
                <w:b/>
                <w:vanish w:val="false"/>
                <w:sz w:val="28"/>
                <w:rFonts w:ascii="Times New Roman" w:hAnsi="Times New Roman"/>
              </w:rPr>
              <w:t xml:space="preserve">Ariza berilgan sana</w:t>
              <w:fldChar w:fldCharType="end"/>
            </w:r>
          </w:p>
        </w:tc>
      </w:tr>
    </w:tbl>
    <w:p>
      <w:pPr>
        <w:jc w:val="both"/>
        <w:spacing w:after="0" w:line="276" w:lineRule="auto"/>
        <w:rPr>
          <w:b/>
          <w:sz w:val="28"/>
          <w:rFonts w:ascii="Times New Roman" w:hAnsi="Times New Roman"/>
        </w:rPr>
      </w:pPr>
    </w:p>
    <w:p>
      <w:pPr>
        <w:jc w:val="both"/>
        <w:spacing w:after="0" w:line="276" w:lineRule="auto"/>
        <w:rPr>
          <w:b/>
          <w:sz w:val="28"/>
          <w:rFonts w:ascii="Times New Roman" w:hAnsi="Times New Roman"/>
        </w:rPr>
      </w:pPr>
    </w:p>
    <w:p>
      <w:pPr>
        <w:jc w:val="both"/>
        <w:spacing w:after="0" w:line="276" w:lineRule="auto"/>
        <w:rPr>
          <w:b/>
          <w:sz w:val="28"/>
          <w:rFonts w:ascii="Times New Roman" w:hAnsi="Times New Roman"/>
        </w:rPr>
      </w:pPr>
    </w:p>
    <w:p>
      <w:pPr>
        <w:spacing w:after="0" w:line="276" w:lineRule="auto"/>
        <w:rPr>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A26C94AA"/>
    <w:lvl w:ilvl="0" w:tplc="DBA87EAC">
      <w:start w:val="1"/>
      <w:numFmt w:val="decimal"/>
      <w:lvlText w:val="%1."/>
      <w:lvlJc w:val="left"/>
      <w:pPr>
        <w:ind w:left="36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46E"/>
    <w:rsid w:val="00093F8E"/>
    <w:rsid w:val="00115F96"/>
    <w:rsid w:val="0012024F"/>
    <w:rsid w:val="002C4343"/>
    <w:rsid w:val="002E09BB"/>
    <w:rsid w:val="004652D4"/>
    <w:rsid w:val="00556357"/>
    <w:rsid w:val="0057498A"/>
    <w:rsid w:val="0058088D"/>
    <w:rsid w:val="006E481C"/>
    <w:rsid w:val="0071291E"/>
    <w:rsid w:val="007A7EC1"/>
    <w:rsid w:val="0085383F"/>
    <w:rsid w:val="008B71AD"/>
    <w:rsid w:val="009928BA"/>
    <w:rsid w:val="009F61C3"/>
    <w:rsid w:val="00AC42F4"/>
    <w:rsid w:val="00C23928"/>
    <w:rsid w:val="00C36905"/>
    <w:rsid w:val="00C91705"/>
    <w:rsid w:val="00D05A9E"/>
    <w:rsid w:val="00E1046E"/>
    <w:rsid w:val="00E65EDB"/>
    <w:rsid w:val="00E918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64D76F-E793-4F79-BA43-33674A466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635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55635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List Paragraph"/>
    <w:basedOn w:val="a"/>
    <w:uiPriority w:val="34"/>
    <w:qFormat/>
    <w:rsid w:val="00556357"/>
    <w:pPr>
      <w:ind w:left="720"/>
      <w:contextualSpacing/>
    </w:pPr>
    <w:rPr>
      <w:rFonts w:ascii="Calibri" w:eastAsia="Calibri" w:hAnsi="Calibri" w:cs="Times New Roman"/>
    </w:rPr>
  </w:style>
  <w:style w:type="table" w:styleId="a4">
    <w:name w:val="Table Grid"/>
    <w:basedOn w:val="a1"/>
    <w:uiPriority w:val="59"/>
    <w:rsid w:val="007A7E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526</Words>
  <Characters>3000</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2022-08-20T11:19:00Z</dcterms:created>
  <dcterms:modified xsi:type="dcterms:W3CDTF">2022-08-20T11:19:00Z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binding w:dataSource="1" w:column="court_name" w:search="false"/>
    </w:value>
  </w:element>
  <w:element w:id="3" w:kind="variable" w:selector="check" w:type="date"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Daʼvogar</w:name>
    <w:value w:hidden="true">
      <w:unit w:active="false"/>
    </w:value>
  </w:element>
  <w:element w:id="5" w:kind="variable" w:selector="check" w:type="string" w:valueMode="normal" w:required="false" w:groupID="4">
    <w:identifier xml:space="preserve">ID5</w:identifier>
    <w:name xml:space="preserve">Daʼvogar shaxsning yashash manzili</w:name>
    <w:value w:hidden="false">
      <w:unit w:active="false"/>
    </w:value>
  </w:element>
  <w:element w:id="6" w:kind="variable" w:selector="check" w:type="string" w:valueMode="normal" w:required="false" w:groupID="4">
    <w:identifier xml:space="preserve">ID6</w:identifier>
    <w:name xml:space="preserve">Daʼvogar shaxsning F.I.O.si</w:name>
    <w:value w:hidden="false">
      <w:unit w:active="false"/>
    </w:value>
  </w:element>
  <w:element w:id="7" w:kind="variable" w:selector="check" w:type="number" w:valueMode="normal" w:required="false" w:groupID="4">
    <w:identifier xml:space="preserve">ID7</w:identifier>
    <w:name xml:space="preserve">Daʼvogar tarafning telefon raqami</w:name>
    <w:value w:hidden="false">
      <w:unit w:active="false"/>
    </w:value>
  </w:element>
  <w:element w:id="8" w:kind="variable" w:selector="check" w:type="string" w:valueMode="normal" w:required="false" w:groupID="4">
    <w:identifier xml:space="preserve">ID8</w:identifier>
    <w:name xml:space="preserve">Daʼvogar tarafning elektron pochta manzili</w:name>
    <w:value w:hidden="false">
      <w:unit w:active="false"/>
    </w:value>
  </w:element>
  <w:element w:id="9" w:kind="category" w:selector="check" w:type="string" w:valueMode="normal" w:required="false">
    <w:identifier xml:space="preserve">ID9</w:identifier>
    <w:name xml:space="preserve">Ariza mazmuni</w:name>
    <w:value w:hidden="true">
      <w:unit w:active="false"/>
    </w:value>
  </w:element>
  <w:element w:id="10" w:kind="variable" w:selector="check" w:type="date" w:valueMode="normal" w:required="false" w:groupID="9">
    <w:identifier xml:space="preserve">ID10</w:identifier>
    <w:name xml:space="preserve">Vafot etgan deb topilishi so‘ralayotgan shaxsning tug‘ilgan sanasi</w:name>
    <w:value w:hidden="false">
      <w:unit w:active="false"/>
    </w:value>
  </w:element>
  <w:element w:id="11" w:kind="variable" w:selector="check" w:type="string" w:valueMode="normal" w:required="false" w:groupID="9">
    <w:identifier xml:space="preserve">ID11</w:identifier>
    <w:name xml:space="preserve">Vafot etgan deb topilishi so‘ralayotgan shaxsning daʼvogar bilan qarindoshlik aloqasi</w:name>
    <w:comment xml:space="preserve">Izoh: Masalan turmush o‘rtog‘i, akasi, ukasi, ota-onasi yoki boshqa</w:comment>
    <w:value w:hidden="false">
      <w:unit w:active="false"/>
    </w:value>
  </w:element>
  <w:element w:id="12" w:kind="variable" w:selector="check" w:type="string" w:valueMode="normal" w:required="false" w:groupID="9">
    <w:identifier xml:space="preserve">ID12</w:identifier>
    <w:name xml:space="preserve">Vafot etgan deb topilishi so‘ralayotgan shaxsning F.I.O.si</w:name>
    <w:value w:hidden="false">
      <w:unit w:active="false"/>
    </w:value>
  </w:element>
  <w:element w:id="13" w:kind="variable" w:selector="check" w:type="date" w:valueMode="normal" w:required="false" w:groupID="9">
    <w:identifier xml:space="preserve">ID13</w:identifier>
    <w:name xml:space="preserve">Vafot etgan deb topilishi so‘ralayotgan shaxsning oxirgi marta uydan chiqib ketgan sanasi</w:name>
    <w:value w:hidden="false">
      <w:unit w:active="false"/>
    </w:value>
  </w:element>
  <w:element w:id="14" w:kind="variable" w:selector="check" w:type="string" w:valueMode="normal" w:required="false" w:groupID="9">
    <w:identifier xml:space="preserve">ID14</w:identifier>
    <w:name xml:space="preserve">Fuqaroni bedarak yo‘qolgan deb topish nima sababdan zarur bo‘lganligi</w:name>
    <w:comment xml:space="preserve">Izoh: Masalan meros mulkini bo‘lish zarurati, umumiy mulkni sotish zarurati yoki boshqa zarurat</w:comment>
    <w:value w:hidden="false">
      <w:unit w:active="false"/>
    </w:value>
  </w:element>
  <w:element w:id="15" w:kind="variable" w:selector="check" w:type="string" w:valueMode="normal" w:required="false" w:groupID="9">
    <w:identifier xml:space="preserve">ID15</w:identifier>
    <w:name xml:space="preserve">Daʼvo arizasiga ilova qilinadigan hujjatlar ro‘yxati</w:name>
    <w:value w:hidden="false">
      <w:unit w:active="false"/>
    </w:value>
  </w:element>
</w:structure>
</file>