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firstLine="0"/>
        <w:spacing w:after="160"/>
      </w:pPr>
      <w:r>
        <w:rPr>
          <w:rStyle w:val="a3"/>
          <w:b/>
          <w:rFonts w:ascii="Times New Roman" w:hAnsi="Times New Roman"/>
        </w:rPr>
        <w:t xml:space="preserve"> HAKAMLIK BITIMI</w:t>
      </w:r>
    </w:p>
    <w:p>
      <w:pPr>
        <w:pStyle w:val="11"/>
        <w:keepNext/>
        <w:keepLines/>
        <w:rPr>
          <w:rStyle w:val="structures"/>
          <w:sz w:val="24"/>
          <w:rFonts w:ascii="Times New Roman" w:hAnsi="Times New Roman"/>
        </w:rPr>
      </w:pP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Bitim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Bitim raqami – son</w:t>
        <w:fldChar w:fldCharType="end"/>
      </w:r>
      <w:r>
        <w:rPr>
          <w:sz w:val="24"/>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Bitim tuzilgan joy</w:t>
        <w:fldChar w:fldCharType="end"/>
      </w:r>
    </w:p>
    <w:p>
      <w:pPr>
        <w:pStyle w:val="1"/>
        <w:numPr>
          <w:numId w:val="1"/>
          <w:ilvl w:val="0"/>
        </w:numPr>
        <w:jc w:val="both"/>
        <w:ind w:firstLine="420"/>
        <w:spacing w:line="254" w:lineRule="auto"/>
        <w:tabs>
          <w:tab w:val="left" w:pos="723"/>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 Hakamlik bitimi tomoni boʻlgan tashkilotning nomi (birinchi taraf)</w:t>
        <w:fldChar w:fldCharType="end"/>
      </w:r>
      <w:r>
        <w:rPr>
          <w:rStyle w:val="a3"/>
          <w:rFonts w:ascii="Times New Roman" w:hAnsi="Times New Roman"/>
        </w:rPr>
        <w:t xml:space="preserve"> nomidan ish yurituvchi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Hakamlik bitimi tomoni boʻlgan tashkilot nomidan ishda qatnashuvchi shaxsning F.I.Osi (birinchi taraf)</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 Hakamlik bitimi tomoni boʻlgan tashkilotning nomi (ikkinchi taraf)</w:t>
        <w:fldChar w:fldCharType="end"/>
      </w:r>
      <w:r>
        <w:rPr>
          <w:rStyle w:val="a3"/>
          <w:rFonts w:ascii="Times New Roman" w:hAnsi="Times New Roman"/>
        </w:rPr>
        <w:t xml:space="preserve"> nomidan ish yurituvchi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Hakamlik bitimi tomoni boʻlgan tashkilot nomidan ishda qatnashuvchi shaxsning F.I.Osi (ikkinchi taraf)</w:t>
        <w:fldChar w:fldCharType="end"/>
      </w:r>
      <w:r>
        <w:rPr>
          <w:rStyle w:val="a3"/>
          <w:rFonts w:ascii="Times New Roman" w:hAnsi="Times New Roman"/>
        </w:rPr>
        <w:t xml:space="preserve">ikkinchi tomondan mazkur bitimni</w:t>
      </w:r>
      <w:r>
        <w:t xml:space="preserve"> </w:t>
      </w:r>
      <w:r>
        <w:rPr>
          <w:rStyle w:val="a3"/>
          <w:rFonts w:ascii="Times New Roman" w:hAnsi="Times New Roman"/>
        </w:rPr>
        <w:t xml:space="preserve">quyidagilar toʻgʻrisida tuzdilar:</w:t>
      </w:r>
    </w:p>
    <w:p>
      <w:pPr>
        <w:pStyle w:val="1"/>
        <w:numPr>
          <w:numId w:val="1"/>
          <w:ilvl w:val="0"/>
        </w:numPr>
        <w:jc w:val="both"/>
        <w:ind w:firstLine="420"/>
        <w:spacing w:line="254" w:lineRule="auto"/>
        <w:tabs>
          <w:tab w:val="left" w:pos="723"/>
        </w:tabs>
      </w:pPr>
      <w:r>
        <w:rPr>
          <w:rStyle w:val="a3"/>
          <w:rFonts w:ascii="Times New Roman" w:hAnsi="Times New Roman"/>
        </w:rPr>
        <w:t xml:space="preserve">Mazkur bitimning taraflari oʻrtasida paydo boʻlayotgan yoki paydo boʻlishi mumkin boʻlgan har qanday nizolar, shu jumladan, shartnomaga oid boʻlmagan munosabatlardan kelib chiquvchi nizolar, agar ular qonunga muvofiq hakamlik sudiga taalluqli boʻlgan taqdirda, “Demokratiya va inson huquqlari instituti” respublika jamoat birlashmasi huzuridagi doimiy faoliyat koʻrsatuvchi Hakamlik sudida uning Reglamenti va Oʻzbekiston Respublikasi qonunchilik hujjatlariga binoan koʻrib chiqiladi.</w:t>
      </w:r>
    </w:p>
    <w:p>
      <w:pPr>
        <w:pStyle w:val="1"/>
        <w:numPr>
          <w:numId w:val="1"/>
          <w:ilvl w:val="0"/>
        </w:numPr>
        <w:jc w:val="both"/>
        <w:ind w:firstLine="420"/>
        <w:spacing w:line="254" w:lineRule="auto"/>
        <w:tabs>
          <w:tab w:val="left" w:pos="709"/>
          <w:tab w:val="left" w:pos="8868" w:leader="underscore"/>
        </w:tabs>
      </w:pPr>
      <w:r>
        <w:rPr>
          <w:rStyle w:val="a3"/>
          <w:rFonts w:ascii="Times New Roman" w:hAnsi="Times New Roman"/>
        </w:rPr>
        <w:t xml:space="preserve">Hakamlik muhokamasining joyi: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Hakamlik muhokamasi oʻtkaziladigan joy (taraflar tomonidan kelishuvga binoan belgilanadi)</w:t>
        <w:fldChar w:fldCharType="end"/>
      </w:r>
    </w:p>
    <w:p>
      <w:pPr>
        <w:pStyle w:val="1"/>
        <w:numPr>
          <w:numId w:val="1"/>
          <w:ilvl w:val="0"/>
        </w:numPr>
        <w:jc w:val="both"/>
        <w:ind w:firstLine="420"/>
        <w:spacing w:line="254" w:lineRule="auto"/>
        <w:tabs>
          <w:tab w:val="left" w:pos="718"/>
        </w:tabs>
      </w:pPr>
      <w:r>
        <w:rPr>
          <w:rStyle w:val="a3"/>
          <w:rFonts w:ascii="Times New Roman" w:hAnsi="Times New Roman"/>
        </w:rPr>
        <w:t xml:space="preserve">Koʻrsatilgan nizo hakamlik sudyasi tomonidan yakka holda koʻrib chiqiladi.</w:t>
      </w:r>
    </w:p>
    <w:p>
      <w:pPr>
        <w:pStyle w:val="1"/>
        <w:numPr>
          <w:numId w:val="1"/>
          <w:ilvl w:val="0"/>
        </w:numPr>
        <w:jc w:val="both"/>
        <w:ind w:firstLine="420"/>
        <w:spacing w:line="254" w:lineRule="auto"/>
        <w:tabs>
          <w:tab w:val="left" w:pos="723"/>
        </w:tabs>
      </w:pPr>
      <w:r>
        <w:rPr>
          <w:rStyle w:val="a3"/>
          <w:rFonts w:ascii="Times New Roman" w:hAnsi="Times New Roman"/>
        </w:rPr>
        <w:t xml:space="preserve">Hakamlik muhokamasini tezlashtirish maqsadida hakamlik sudi taraflarga hujjatlarni quyida koʻrsatilgan pochta manzillariga (elektron manziliga) joʻnatishi lozim:</w:t>
      </w:r>
    </w:p>
    <w:p>
      <w:pPr>
        <w:pStyle w:val="1"/>
        <w:jc w:val="both"/>
        <w:ind w:firstLine="420"/>
        <w:spacing w:line="254" w:lineRule="auto"/>
        <w:rPr>
          <w:rStyle w:val="a3"/>
          <w:rFonts w:ascii="Times New Roman" w:hAnsi="Times New Roman"/>
        </w:rPr>
      </w:pPr>
      <w:r>
        <w:rPr>
          <w:rStyle w:val="a3"/>
          <w:vanish w:val="false"/>
          <w:rFonts w:ascii="Times New Roman" w:hAnsi="Times New Roman"/>
        </w:rPr>
        <w:fldChar w:fldCharType="begin"/>
        <w:instrText xml:space="preserve">X {"Y":12}</w:instrText>
        <w:fldChar w:fldCharType="separate"/>
      </w:r>
      <w:r>
        <w:rPr>
          <w:rStyle w:val="a3"/>
          <w:vanish w:val="false"/>
          <w:rFonts w:ascii="Times New Roman" w:hAnsi="Times New Roman"/>
        </w:rPr>
        <w:t xml:space="preserve">Birinchi tarafning pochta manzili (elektron pochta manzili)</w:t>
        <w:fldChar w:fldCharType="end"/>
      </w:r>
    </w:p>
    <w:p>
      <w:pPr>
        <w:pStyle w:val="1"/>
        <w:jc w:val="both"/>
        <w:ind w:firstLine="420"/>
        <w:spacing w:line="254" w:lineRule="auto"/>
      </w:pPr>
      <w:r>
        <w:rPr>
          <w:vanish w:val="false"/>
        </w:rPr>
        <w:fldChar w:fldCharType="begin"/>
        <w:instrText xml:space="preserve">X {"Y":13}</w:instrText>
        <w:fldChar w:fldCharType="separate"/>
      </w:r>
      <w:r>
        <w:rPr>
          <w:vanish w:val="false"/>
        </w:rPr>
        <w:t xml:space="preserve">Ikkinchi tarafning pochta manzili (elektron pochta manzili)</w:t>
        <w:fldChar w:fldCharType="end"/>
      </w:r>
    </w:p>
    <w:p>
      <w:pPr>
        <w:pStyle w:val="1"/>
        <w:jc w:val="both"/>
        <w:ind w:firstLine="420"/>
        <w:spacing w:line="254" w:lineRule="auto"/>
      </w:pPr>
      <w:r>
        <w:rPr>
          <w:rStyle w:val="a3"/>
          <w:rFonts w:ascii="Times New Roman" w:hAnsi="Times New Roman"/>
        </w:rPr>
        <w:t xml:space="preserve">Xabar yuqorida koʻrsatilgan manzillarga yuborilganligi toʻgʻrisidagi dalil mavjud boʻlgan taqdirda, u qabul qilingan deb hisoblanadi.</w:t>
      </w:r>
    </w:p>
    <w:p>
      <w:pPr>
        <w:pStyle w:val="1"/>
        <w:numPr>
          <w:numId w:val="1"/>
          <w:ilvl w:val="0"/>
        </w:numPr>
        <w:jc w:val="both"/>
        <w:ind w:firstLine="420"/>
        <w:spacing w:line="254" w:lineRule="auto"/>
        <w:tabs>
          <w:tab w:val="left" w:pos="723"/>
        </w:tabs>
      </w:pPr>
      <w:r>
        <w:rPr>
          <w:rStyle w:val="a3"/>
          <w:rFonts w:ascii="Times New Roman" w:hAnsi="Times New Roman"/>
        </w:rPr>
        <w:t xml:space="preserve">Taraflar oʻz vakilini hakamlik sudi majlisida ishtirok etishi uchun joʻnatishi lozim. Ular oʻz vaqtida hakamlik sudi majlisiga yetib kelmagan hollarda, nizo hakamlik sudiga taqdim etilgan hujjatlar asosida hal etiladi.</w:t>
      </w:r>
    </w:p>
    <w:p>
      <w:pPr>
        <w:pStyle w:val="1"/>
        <w:numPr>
          <w:numId w:val="1"/>
          <w:ilvl w:val="0"/>
        </w:numPr>
        <w:jc w:val="both"/>
        <w:ind w:firstLine="420"/>
        <w:spacing w:line="254" w:lineRule="auto"/>
        <w:tabs>
          <w:tab w:val="left" w:pos="723"/>
        </w:tabs>
      </w:pPr>
      <w:r>
        <w:rPr>
          <w:rStyle w:val="a3"/>
          <w:rFonts w:ascii="Times New Roman" w:hAnsi="Times New Roman"/>
        </w:rPr>
        <w:t xml:space="preserve">Hakamlik sudi ishni hakamlik sudi majlisida koʻrishni taraf vakilining yoʻqligi yoki uning kasalligi, safarda, boshqa sudda band boʻlganligi sabablariga koʻra qoldirmaslik huquqiga ega. Mazkur holatlar vujudga kelganda, taraflar hakamlik sudiga boshqa vakil kelishini taʼminlashi lozim.</w:t>
      </w:r>
    </w:p>
    <w:p>
      <w:pPr>
        <w:pStyle w:val="1"/>
        <w:numPr>
          <w:numId w:val="1"/>
          <w:ilvl w:val="0"/>
        </w:numPr>
        <w:jc w:val="both"/>
        <w:ind w:firstLine="420"/>
        <w:spacing w:line="254" w:lineRule="auto"/>
        <w:tabs>
          <w:tab w:val="left" w:pos="709"/>
        </w:tabs>
      </w:pPr>
      <w:r>
        <w:rPr>
          <w:rStyle w:val="a3"/>
          <w:rFonts w:ascii="Times New Roman" w:hAnsi="Times New Roman"/>
        </w:rPr>
        <w:t xml:space="preserve">Hakamlik muhokamasining tili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Hakamlik muhokamasi amalga oshiriladigan til</w:t>
        <w:fldChar w:fldCharType="end"/>
      </w:r>
      <w:r>
        <w:rPr>
          <w:rStyle w:val="a3"/>
          <w:rFonts w:ascii="Times New Roman" w:hAnsi="Times New Roman"/>
        </w:rPr>
        <w:t xml:space="preserve"> tili hisoblanadi.</w:t>
      </w:r>
    </w:p>
    <w:p>
      <w:pPr>
        <w:pStyle w:val="1"/>
        <w:numPr>
          <w:numId w:val="1"/>
          <w:ilvl w:val="0"/>
        </w:numPr>
        <w:jc w:val="both"/>
        <w:ind w:firstLine="420"/>
        <w:spacing w:line="254" w:lineRule="auto"/>
        <w:tabs>
          <w:tab w:val="left" w:pos="728"/>
        </w:tabs>
      </w:pPr>
      <w:r>
        <w:rPr>
          <w:rStyle w:val="a3"/>
          <w:rFonts w:ascii="Times New Roman" w:hAnsi="Times New Roman"/>
        </w:rPr>
        <w:t xml:space="preserve">Nizoni hal qilish uchun kerak boʻlgan barcha dalillarni taraflar bir-biriga va hakamlik sudiga sudgacha boʻlgan davrda yoki ish koʻrilayotgan vaqtda taqdim etishlari lozim.</w:t>
      </w:r>
    </w:p>
    <w:p>
      <w:pPr>
        <w:pStyle w:val="1"/>
        <w:numPr>
          <w:numId w:val="1"/>
          <w:ilvl w:val="0"/>
        </w:numPr>
        <w:jc w:val="both"/>
        <w:ind w:firstLine="420"/>
        <w:spacing w:after="160" w:line="254" w:lineRule="auto"/>
        <w:tabs>
          <w:tab w:val="left" w:pos="852"/>
        </w:tabs>
      </w:pPr>
      <w:r>
        <w:rPr>
          <w:rStyle w:val="a3"/>
          <w:rFonts w:ascii="Times New Roman" w:hAnsi="Times New Roman"/>
        </w:rPr>
        <w:t xml:space="preserve">Hakamlik sudining qarori qatʼiy va taraflar uchun ijro etilishi majburiy hisoblanadi.</w:t>
      </w:r>
    </w:p>
    <w:p>
      <w:pPr>
        <w:pStyle w:val="1"/>
        <w:numPr>
          <w:numId w:val="1"/>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78"/>
        <w:gridCol w:w="4750"/>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BIRINCHI TARAF:</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Birinchi tarafning yuridik manzili</w:t>
              <w:fldChar w:fldCharType="end"/>
            </w:r>
          </w:p>
          <w:p>
            <w:pPr>
              <w:pStyle w:val="1"/>
              <w:jc w:val="both"/>
              <w:ind w:firstLine="44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Birinchi tarafning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Birinchi tarafning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Birinchi tarafning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Birinchi taraf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 xml:space="preserve">IKKINCHI TARAF:</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Ikkinchi tarafning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Ikkinchi tarafning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Ikkinchi tarafning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Ikkinchi tarafning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Ikkinchi tarafning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27255"/>
    <w:multiLevelType w:val="multilevel"/>
    <w:tmpl w:val="F146D2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C0"/>
    <w:rsid w:val="00013BBA"/>
    <w:rsid w:val="0005724A"/>
    <w:rsid w:val="000662D7"/>
    <w:rsid w:val="000B30D9"/>
    <w:rsid w:val="000C2773"/>
    <w:rsid w:val="00231CD5"/>
    <w:rsid w:val="002D70A8"/>
    <w:rsid w:val="002F3442"/>
    <w:rsid w:val="00312565"/>
    <w:rsid w:val="00327FC0"/>
    <w:rsid w:val="004E05D3"/>
    <w:rsid w:val="00752E69"/>
    <w:rsid w:val="007A0A09"/>
    <w:rsid w:val="00891636"/>
    <w:rsid w:val="00997B01"/>
    <w:rsid w:val="00B80956"/>
    <w:rsid w:val="00C04746"/>
    <w:rsid w:val="00C5215E"/>
    <w:rsid w:val="00D12045"/>
    <w:rsid w:val="00F4064B"/>
    <w:rsid w:val="00F50519"/>
    <w:rsid w:val="00F52F04"/>
    <w:rsid w:val="00F7138D"/>
    <w:rsid w:val="00F91DD2"/>
    <w:rsid w:val="00FC2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A482B-094D-4E1B-B11E-6E2812CD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FC23EB"/>
    <w:rPr>
      <w:rFonts w:ascii="Times New Roman" w:eastAsia="Times New Roman" w:hAnsi="Times New Roman" w:cs="Times New Roman"/>
    </w:rPr>
  </w:style>
  <w:style w:type="paragraph" w:customStyle="1" w:styleId="1">
    <w:name w:val="Основной текст1"/>
    <w:basedOn w:val="a"/>
    <w:link w:val="a3"/>
    <w:rsid w:val="00FC23EB"/>
    <w:pPr>
      <w:widowControl w:val="0"/>
      <w:spacing w:after="0" w:line="240" w:lineRule="auto"/>
      <w:ind w:firstLine="400"/>
    </w:pPr>
    <w:rPr>
      <w:rFonts w:ascii="Times New Roman" w:eastAsia="Times New Roman" w:hAnsi="Times New Roman" w:cs="Times New Roman"/>
    </w:rPr>
  </w:style>
  <w:style w:type="character" w:customStyle="1" w:styleId="10">
    <w:name w:val="Заголовок №1_"/>
    <w:basedOn w:val="a0"/>
    <w:link w:val="11"/>
    <w:rsid w:val="004E05D3"/>
    <w:rPr>
      <w:rFonts w:ascii="Times New Roman" w:eastAsia="Times New Roman" w:hAnsi="Times New Roman" w:cs="Times New Roman"/>
      <w:b/>
      <w:bCs/>
    </w:rPr>
  </w:style>
  <w:style w:type="paragraph" w:customStyle="1" w:styleId="11">
    <w:name w:val="Заголовок №1"/>
    <w:basedOn w:val="a"/>
    <w:link w:val="10"/>
    <w:rsid w:val="004E05D3"/>
    <w:pPr>
      <w:widowControl w:val="0"/>
      <w:spacing w:after="180" w:line="240" w:lineRule="auto"/>
      <w:jc w:val="center"/>
      <w:outlineLvl w:val="0"/>
    </w:pPr>
    <w:rPr>
      <w:rFonts w:ascii="Times New Roman" w:eastAsia="Times New Roman" w:hAnsi="Times New Roman" w:cs="Times New Roman"/>
      <w:b/>
      <w:bCs/>
    </w:rPr>
  </w:style>
  <w:style w:type="character" w:customStyle="1" w:styleId="structures">
    <w:name w:val="structures"/>
    <w:basedOn w:val="a0"/>
    <w:rsid w:val="004E05D3"/>
  </w:style>
  <w:style w:type="table" w:styleId="a4">
    <w:name w:val="Table Grid"/>
    <w:basedOn w:val="a1"/>
    <w:uiPriority w:val="39"/>
    <w:rsid w:val="00312565"/>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2025-02-03T05:28:00Z</dcterms:created>
  <dcterms:modified xsi:type="dcterms:W3CDTF">2025-03-04T10:28:00Z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Bitimning rekvizitlari</w:name>
    <w:value w:hidden="true">
      <w:unit w:active="false"/>
    </w:value>
  </w:element>
  <w:element w:id="2" w:kind="variable" w:type="string" w:valueMode="normal" w:required="false" w:groupID="1">
    <w:identifier xml:space="preserve">ID2</w:identifier>
    <w:name xml:space="preserve">Bitim tuzilgan vaqt</w:name>
    <w:value w:hidden="false">
      <w:unit w:active="false"/>
    </w:value>
  </w:element>
  <w:element w:id="3" w:kind="variable" w:type="string" w:valueMode="normal" w:required="false" w:groupID="1">
    <w:identifier xml:space="preserve">ID3</w:identifier>
    <w:name xml:space="preserve">Bitim raqami – son</w:name>
    <w:value w:hidden="false">
      <w:unit w:active="false"/>
    </w:value>
  </w:element>
  <w:element w:id="4" w:kind="variable" w:type="string" w:valueMode="normal" w:required="false" w:groupID="1">
    <w:identifier xml:space="preserve">ID4</w:identifier>
    <w:name xml:space="preserve">Bitim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 Hakamlik bitimi tomoni boʻlgan tashkilotning nomi (birinchi taraf)</w:name>
    <w:value w:hidden="false">
      <w:unit w:active="false"/>
    </w:value>
  </w:element>
  <w:element w:id="7" w:kind="variable" w:type="string" w:valueMode="normal" w:required="false" w:groupID="5">
    <w:identifier xml:space="preserve">ID7</w:identifier>
    <w:name xml:space="preserve">Hakamlik bitimi tomoni boʻlgan tashkilot nomidan ishda qatnashuvchi shaxsning F.I.Osi (birinchi taraf)</w:name>
    <w:value w:hidden="false">
      <w:unit w:active="false"/>
    </w:value>
  </w:element>
  <w:element w:id="8" w:kind="variable" w:type="string" w:valueMode="normal" w:required="false" w:groupID="5">
    <w:identifier xml:space="preserve">ID8</w:identifier>
    <w:name xml:space="preserve"> Hakamlik bitimi tomoni boʻlgan tashkilotning nomi (ikkinchi taraf)</w:name>
    <w:value w:hidden="false">
      <w:unit w:active="false"/>
    </w:value>
  </w:element>
  <w:element w:id="9" w:kind="variable" w:type="string" w:valueMode="normal" w:required="false" w:groupID="5">
    <w:identifier xml:space="preserve">ID9</w:identifier>
    <w:name xml:space="preserve">Hakamlik bitimi tomoni boʻlgan tashkilot nomidan ishda qatnashuvchi shaxsning F.I.Osi (ikkinchi taraf)</w:name>
    <w:value w:hidden="false">
      <w:unit w:active="false"/>
    </w:value>
  </w:element>
  <w:element w:id="10" w:kind="category" w:type="string" w:valueMode="normal" w:required="false" w:groupID="10">
    <w:identifier xml:space="preserve">ID10</w:identifier>
    <w:name xml:space="preserve">Bitim shartlari</w:name>
    <w:value w:hidden="true">
      <w:unit w:active="false"/>
    </w:value>
  </w:element>
  <w:element w:id="11" w:kind="variable" w:type="string" w:valueMode="normal" w:required="false" w:groupID="10">
    <w:identifier xml:space="preserve">ID11</w:identifier>
    <w:name xml:space="preserve">Hakamlik muhokamasi oʻtkaziladigan joy (taraflar tomonidan kelishuvga binoan belgilanadi)</w:name>
    <w:value w:hidden="false">
      <w:unit w:active="false"/>
    </w:value>
  </w:element>
  <w:element w:id="12" w:kind="variable" w:type="string" w:valueMode="normal" w:required="false" w:groupID="10">
    <w:identifier xml:space="preserve">ID12</w:identifier>
    <w:name xml:space="preserve">Birinchi tarafning pochta manzili (elektron pochta manzili)</w:name>
    <w:value w:hidden="false">
      <w:unit w:active="false"/>
    </w:value>
  </w:element>
  <w:element w:id="13" w:kind="variable" w:type="string" w:valueMode="normal" w:required="false" w:groupID="10">
    <w:identifier xml:space="preserve">ID13</w:identifier>
    <w:name xml:space="preserve">Ikkinchi tarafning pochta manzili (elektron pochta manzili)</w:name>
    <w:value w:hidden="false">
      <w:unit w:active="false"/>
    </w:value>
  </w:element>
  <w:element w:id="14" w:kind="variable" w:type="string" w:valueMode="normal" w:required="false" w:groupID="10">
    <w:identifier xml:space="preserve">ID14</w:identifier>
    <w:name xml:space="preserve">Hakamlik muhokamasi amalga oshiriladigan til</w:name>
    <w:value w:hidden="false">
      <w:unit w:active="false"/>
    </w:value>
  </w:element>
  <w:element w:id="15" w:kind="category" w:type="string" w:valueMode="normal" w:required="false" w:groupID="15">
    <w:identifier xml:space="preserve">ID15</w:identifier>
    <w:name xml:space="preserve">Taraflarning rekvizitlari</w:name>
    <w:value w:hidden="true">
      <w:unit w:active="false"/>
    </w:value>
  </w:element>
  <w:element w:id="16" w:kind="variable" w:type="string" w:valueMode="normal" w:required="false" w:groupID="15">
    <w:identifier xml:space="preserve">ID16</w:identifier>
    <w:name xml:space="preserve">Birinchi tarafning yuridik manzili</w:name>
    <w:value w:hidden="false">
      <w:unit w:active="false"/>
    </w:value>
  </w:element>
  <w:element w:id="17" w:kind="variable" w:type="string" w:valueMode="normal" w:required="false" w:groupID="15">
    <w:identifier xml:space="preserve">ID17</w:identifier>
    <w:name xml:space="preserve">Birinchi tarafning hisob raqami</w:name>
    <w:value w:hidden="false">
      <w:unit w:active="false"/>
    </w:value>
  </w:element>
  <w:element w:id="18" w:kind="variable" w:type="string" w:valueMode="normal" w:required="false" w:groupID="15">
    <w:identifier xml:space="preserve">ID18</w:identifier>
    <w:name xml:space="preserve">Birinchi tarafning bank kodi</w:name>
    <w:value w:hidden="false">
      <w:unit w:active="false"/>
    </w:value>
  </w:element>
  <w:element w:id="19" w:kind="variable" w:type="string" w:valueMode="normal" w:required="false" w:groupID="15">
    <w:identifier xml:space="preserve">ID19</w:identifier>
    <w:name xml:space="preserve">Birinchi tarafning STIR raqami</w:name>
    <w:value w:hidden="false">
      <w:unit w:active="false"/>
    </w:value>
  </w:element>
  <w:element w:id="20" w:kind="variable" w:type="string" w:valueMode="normal" w:required="false" w:groupID="15">
    <w:identifier xml:space="preserve">ID20</w:identifier>
    <w:name xml:space="preserve">Birinchi taraf bilan bogʻlanish uchun telefon raqami</w:name>
    <w:value w:hidden="false">
      <w:unit w:active="false"/>
    </w:value>
  </w:element>
  <w:element w:id="21" w:kind="variable" w:type="string" w:valueMode="normal" w:required="false" w:groupID="15">
    <w:identifier xml:space="preserve">ID21</w:identifier>
    <w:name xml:space="preserve">Ikkinchi tarafning yuridik manzili</w:name>
    <w:value w:hidden="false">
      <w:unit w:active="false"/>
    </w:value>
  </w:element>
  <w:element w:id="22" w:kind="variable" w:type="string" w:valueMode="normal" w:required="false" w:groupID="15">
    <w:identifier xml:space="preserve">ID22</w:identifier>
    <w:name xml:space="preserve">Ikkinchi tarafning hisob raqami</w:name>
    <w:value w:hidden="false">
      <w:unit w:active="false"/>
    </w:value>
  </w:element>
  <w:element w:id="23" w:kind="variable" w:type="string" w:valueMode="normal" w:required="false" w:groupID="15">
    <w:identifier xml:space="preserve">ID23</w:identifier>
    <w:name xml:space="preserve">Ikkinchi tarafning bank kodi</w:name>
    <w:value w:hidden="false">
      <w:unit w:active="false"/>
    </w:value>
  </w:element>
  <w:element w:id="24" w:kind="variable" w:type="string" w:valueMode="normal" w:required="false" w:groupID="15">
    <w:identifier xml:space="preserve">ID24</w:identifier>
    <w:name xml:space="preserve">Ikkinchi tarafning STIR raqami</w:name>
    <w:value w:hidden="false">
      <w:unit w:active="false"/>
    </w:value>
  </w:element>
  <w:element w:id="25" w:kind="variable" w:type="string" w:valueMode="normal" w:required="false" w:groupID="15">
    <w:identifier xml:space="preserve">ID25</w:identifier>
    <w:name xml:space="preserve">Ikkinchi tarafning telefon raqami</w:name>
    <w:value w:hidden="false">
      <w:unit w:active="false"/>
    </w:value>
  </w:element>
</w:structure>
</file>