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3"/>
        <w:gridCol w:w="4791"/>
      </w:tblGrid>
      <w:tr>
        <w:tc>
          <w:tcPr>
            <w:tcW w:w="4563" w:type="dxa"/>
            <w:shd w:fill="auto"/>
          </w:tcPr>
          <w:p>
            <w:pPr>
              <w:spacing w:after="0"/>
              <w:rPr>
                <w:color w:val="000000"/>
                <w:sz w:val="28"/>
                <w:rFonts w:ascii="Times New Roman" w:hAnsi="Times New Roman"/>
              </w:rPr>
            </w:pPr>
          </w:p>
        </w:tc>
        <w:tc>
          <w:tcPr>
            <w:tcW w:w="4791"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Iqtisodiy ishlari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Ariza berilgan iqtisodiy sud nomi</w:t>
              <w:fldChar w:fldCharType="end"/>
            </w:r>
            <w:r>
              <w:rPr>
                <w:b/>
                <w:color w:val="000000"/>
                <w:sz w:val="28"/>
                <w:rFonts w:ascii="Times New Roman" w:hAnsi="Times New Roman"/>
              </w:rPr>
              <w:t xml:space="preserve"> sudiga</w:t>
            </w:r>
          </w:p>
        </w:tc>
      </w:tr>
      <w:tr>
        <w:tc>
          <w:tcPr>
            <w:tcW w:w="4563" w:type="dxa"/>
            <w:shd w:fill="auto"/>
          </w:tcPr>
          <w:p>
            <w:pPr>
              <w:spacing w:after="0"/>
              <w:rPr>
                <w:color w:val="000000"/>
                <w:sz w:val="28"/>
                <w:rFonts w:ascii="Times New Roman" w:hAnsi="Times New Roman"/>
              </w:rPr>
            </w:pPr>
          </w:p>
        </w:tc>
        <w:tc>
          <w:tcPr>
            <w:tcW w:w="4791"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 tashkilotning nomi va tashkiliy huquqiy shakli</w:t>
              <w:fldChar w:fldCharType="end"/>
            </w:r>
          </w:p>
        </w:tc>
      </w:tr>
      <w:tr>
        <w:trPr>
          <w:trHeight w:val="378"/>
        </w:trPr>
        <w:tc>
          <w:tcPr>
            <w:tcW w:w="4563" w:type="dxa"/>
            <w:shd w:fill="auto"/>
          </w:tcPr>
          <w:p>
            <w:pPr>
              <w:spacing w:after="0"/>
              <w:rPr>
                <w:color w:val="000000"/>
                <w:sz w:val="28"/>
                <w:rFonts w:ascii="Times New Roman" w:hAnsi="Times New Roman"/>
              </w:rPr>
            </w:pPr>
          </w:p>
        </w:tc>
        <w:tc>
          <w:tcPr>
            <w:tcW w:w="4791" w:type="dxa"/>
            <w:shd w:fill="auto"/>
          </w:tcPr>
          <w:p>
            <w:pPr>
              <w:jc w:val="both"/>
              <w:spacing w:after="0"/>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Da’vogarning yuridik manzili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Da’vogar tashkilotning da’vo arizani imzolagan rahbarining lavozimi va F.I.Sh.i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Da’vogar tarafning elektron pochta manzili</w:t>
              <w:fldChar w:fldCharType="end"/>
            </w:r>
          </w:p>
        </w:tc>
      </w:tr>
      <w:tr>
        <w:trPr>
          <w:trHeight w:val="378"/>
        </w:trPr>
        <w:tc>
          <w:tcPr>
            <w:tcW w:w="4563" w:type="dxa"/>
            <w:shd w:fill="auto"/>
          </w:tcPr>
          <w:p>
            <w:pPr>
              <w:spacing w:after="0"/>
              <w:rPr>
                <w:color w:val="000000"/>
                <w:sz w:val="28"/>
                <w:rFonts w:ascii="Times New Roman" w:hAnsi="Times New Roman"/>
              </w:rPr>
            </w:pPr>
          </w:p>
        </w:tc>
        <w:tc>
          <w:tcPr>
            <w:tcW w:w="4791"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 tashkilotning nomi va tashkiliy huquqiy shakli</w:t>
              <w:fldChar w:fldCharType="end"/>
            </w:r>
          </w:p>
        </w:tc>
      </w:tr>
      <w:tr>
        <w:trPr>
          <w:trHeight w:val="378"/>
        </w:trPr>
        <w:tc>
          <w:tcPr>
            <w:tcW w:w="4563" w:type="dxa"/>
            <w:shd w:fill="auto"/>
          </w:tcPr>
          <w:p>
            <w:pPr>
              <w:spacing w:after="0"/>
              <w:rPr>
                <w:color w:val="000000"/>
                <w:sz w:val="28"/>
                <w:rFonts w:ascii="Times New Roman" w:hAnsi="Times New Roman"/>
              </w:rPr>
            </w:pPr>
          </w:p>
        </w:tc>
        <w:tc>
          <w:tcPr>
            <w:tcW w:w="4791" w:type="dxa"/>
            <w:shd w:fill="auto"/>
          </w:tcPr>
          <w:p>
            <w:pPr>
              <w:jc w:val="both"/>
              <w:spacing w:after="0"/>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Javobgarning yuridik manzili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Javobgarning elektron pochta manzili</w:t>
              <w:fldChar w:fldCharType="end"/>
            </w:r>
          </w:p>
          <w:p>
            <w:pPr>
              <w:jc w:val="both"/>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Bekor qilinishi so‘ralayotgan qarorni qabul qilgan hakamlik sudining nomi</w:t>
              <w:fldChar w:fldCharType="end"/>
            </w:r>
            <w:r>
              <w:rPr>
                <w:sz w:val="28"/>
                <w:rFonts w:ascii="Times New Roman" w:hAnsi="Times New Roman"/>
              </w:rPr>
              <w:t xml:space="preserve"> </w:t>
            </w:r>
            <w:r>
              <w:rPr>
                <w:color w:val="000000"/>
                <w:sz w:val="28"/>
                <w:rFonts w:ascii="Times New Roman" w:hAnsi="Times New Roman"/>
              </w:rPr>
              <w:t xml:space="preserve">sudining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Bekor qilinishi so‘ralayotgan qaror qabul qilingan sana</w:t>
              <w:fldChar w:fldCharType="end"/>
            </w:r>
            <w:r>
              <w:rPr>
                <w:sz w:val="28"/>
                <w:rFonts w:ascii="Times New Roman" w:hAnsi="Times New Roman"/>
              </w:rPr>
              <w:t xml:space="preserve"> kunidagi hal qiluv qarorini bekor qilish to‘g‘risida</w:t>
            </w:r>
            <w:r>
              <w:rPr>
                <w:color w:val="000000"/>
                <w:sz w:val="28"/>
                <w:rFonts w:ascii="Times New Roman" w:hAnsi="Times New Roman"/>
              </w:rPr>
              <w:t xml:space="preserve"> </w:t>
            </w:r>
          </w:p>
        </w:tc>
      </w:tr>
    </w:tbl>
    <w:p>
      <w:pPr>
        <w:pStyle w:val="ConsPlusNonformat"/>
        <w:jc w:val="center"/>
        <w:spacing w:line="276" w:lineRule="auto"/>
        <w:rPr>
          <w:b/>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 xml:space="preserve">A R I Z A</w:t>
      </w:r>
    </w:p>
    <w:p>
      <w:pPr>
        <w:pStyle w:val="ConsPlusNonformat"/>
        <w:jc w:val="both"/>
        <w:spacing w:line="276" w:lineRule="auto"/>
        <w:rPr>
          <w:sz w:val="28"/>
          <w:rFonts w:ascii="Times New Roman" w:hAnsi="Times New Roman"/>
        </w:rPr>
      </w:pPr>
    </w:p>
    <w:p>
      <w:pPr>
        <w:pStyle w:val="ConsPlusNonformat"/>
        <w:jc w:val="both"/>
        <w:ind w:firstLine="709"/>
        <w:spacing w:line="276" w:lineRule="auto"/>
        <w:rPr>
          <w:color w:val="000000"/>
          <w:sz w:val="28"/>
          <w:rFonts w:ascii="Times New Roman" w:hAnsi="Times New Roman"/>
        </w:rPr>
      </w:pPr>
      <w:r>
        <w:rPr>
          <w:sz w:val="28"/>
          <w:rFonts w:ascii="Times New Roman" w:hAnsi="Times New Roman"/>
        </w:rPr>
        <w:t xml:space="preserve">Bizning tashkilotimiz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 tashkilotning nomi va tashkiliy huquqiy shakli</w:t>
        <w:fldChar w:fldCharType="end"/>
      </w:r>
      <w:r>
        <w:rPr>
          <w:color w:val="000000"/>
          <w:sz w:val="28"/>
          <w:rFonts w:ascii="Times New Roman" w:hAnsi="Times New Roman"/>
        </w:rPr>
        <w:t xml:space="preserve"> hamda javobgar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 tashkilotning nomi va tashkiliy huquqiy shakli</w:t>
        <w:fldChar w:fldCharType="end"/>
      </w:r>
      <w:r>
        <w:rPr>
          <w:color w:val="000000"/>
          <w:sz w:val="28"/>
          <w:rFonts w:ascii="Times New Roman" w:hAnsi="Times New Roman"/>
        </w:rPr>
        <w:t xml:space="preserve"> o‘rtasida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Da’vogar va javobgar tashkilot o‘rtasida kelib chiqqan huquqiy nizoning mazmuni</w:t>
        <w:fldChar w:fldCharType="end"/>
      </w:r>
      <w:r>
        <w:rPr>
          <w:color w:val="000000"/>
          <w:sz w:val="28"/>
          <w:rFonts w:ascii="Times New Roman" w:hAnsi="Times New Roman"/>
        </w:rPr>
        <w:t xml:space="preserve"> masalasida huquqiy nizo kelib chiqdi. Taraflar o‘rtasida o‘zaro kelishuv bo‘lganligi sababli biz ushbu nizo yuzasidan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Bekor qilinishi so‘ralayotgan qarorni qabul qilgan hakamlik sudining nomi</w:t>
        <w:fldChar w:fldCharType="end"/>
      </w:r>
      <w:r>
        <w:rPr>
          <w:color w:val="000000"/>
          <w:sz w:val="28"/>
          <w:rFonts w:ascii="Times New Roman" w:hAnsi="Times New Roman"/>
        </w:rPr>
        <w:t xml:space="preserve"> sudiga murojaat qilganmiz. </w:t>
      </w:r>
    </w:p>
    <w:p>
      <w:pPr>
        <w:pStyle w:val="ConsPlusNonformat"/>
        <w:jc w:val="both"/>
        <w:ind w:firstLine="709"/>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Bekor qilinishi so‘ralayotgan qarorni qabul qilgan hakamlik sudining nomi</w:t>
        <w:fldChar w:fldCharType="end"/>
      </w:r>
      <w:r>
        <w:rPr>
          <w:color w:val="000000"/>
          <w:sz w:val="28"/>
          <w:rFonts w:ascii="Times New Roman" w:hAnsi="Times New Roman"/>
        </w:rPr>
        <w:t xml:space="preserve"> sudi tomonidan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Bekor qilinishi so‘ralayotgan qaror qabul qilingan sana</w:t>
        <w:fldChar w:fldCharType="end"/>
      </w:r>
      <w:r>
        <w:rPr>
          <w:color w:val="000000"/>
          <w:sz w:val="28"/>
          <w:rFonts w:ascii="Times New Roman" w:hAnsi="Times New Roman"/>
        </w:rPr>
        <w:t xml:space="preserve"> kuni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Hakamlik sudi qarorining qisqacha mazmuni</w:t>
        <w:fldChar w:fldCharType="end"/>
      </w:r>
      <w:r>
        <w:rPr>
          <w:color w:val="000000"/>
          <w:sz w:val="28"/>
          <w:rFonts w:ascii="Times New Roman" w:hAnsi="Times New Roman"/>
        </w:rPr>
        <w:t xml:space="preserve"> to‘g‘risida qaror qabul qilingan. </w:t>
      </w:r>
    </w:p>
    <w:p>
      <w:pPr>
        <w:pStyle w:val="ConsPlusNonformat"/>
        <w:jc w:val="both"/>
        <w:ind w:firstLine="709"/>
        <w:spacing w:line="276" w:lineRule="auto"/>
        <w:rPr>
          <w:sz w:val="28"/>
          <w:rFonts w:ascii="Times New Roman" w:hAnsi="Times New Roman"/>
        </w:rPr>
      </w:pPr>
      <w:r>
        <w:rPr>
          <w:color w:val="000000"/>
          <w:sz w:val="28"/>
          <w:rFonts w:ascii="Times New Roman" w:hAnsi="Times New Roman"/>
        </w:rPr>
        <w:t xml:space="preserve">Men quyidagilarga asosan ushbu qarorni noqonuniy va asossiz deb hisoblayman: </w:t>
      </w:r>
      <w:r>
        <w:rPr>
          <w:vanish w:val="false"/>
          <w:color w:val="000000"/>
          <w:sz w:val="28"/>
          <w:rFonts w:ascii="Times New Roman" w:hAnsi="Times New Roman"/>
        </w:rPr>
        <w:fldChar w:fldCharType="begin"/>
        <w:instrText xml:space="preserve">X {"Y":19}</w:instrText>
        <w:fldChar w:fldCharType="separate"/>
      </w:r>
      <w:r>
        <w:rPr>
          <w:vanish w:val="false"/>
          <w:color w:val="000000"/>
          <w:sz w:val="28"/>
          <w:rFonts w:ascii="Times New Roman" w:hAnsi="Times New Roman"/>
        </w:rPr>
        <w:t xml:space="preserve">Hakamlik sudi qarori qaysi asoslarga ko‘ra noqonuniy deb hisoblanadi</w:t>
        <w:fldChar w:fldCharType="end"/>
      </w:r>
    </w:p>
    <w:p>
      <w:pPr>
        <w:pStyle w:val="ConsPlusNonformat"/>
        <w:jc w:val="both"/>
        <w:ind w:firstLine="709"/>
        <w:spacing w:line="276" w:lineRule="auto"/>
        <w:rPr>
          <w:color w:val="000000"/>
          <w:sz w:val="28"/>
          <w:rFonts w:ascii="Times New Roman" w:hAnsi="Times New Roman"/>
        </w:rPr>
      </w:pPr>
      <w:r>
        <w:rPr>
          <w:color w:val="000000"/>
          <w:sz w:val="28"/>
          <w:rFonts w:ascii="Times New Roman" w:hAnsi="Times New Roman"/>
        </w:rPr>
        <w:t xml:space="preserve">O‘zbekiston Respublikasi Iqtisodiy protsessual kodeksining 223-moddasiga ko‘ra, hakamlik muhokamasi tarafi hakamlik sudining iqtisodiy sudga taalluqli nizoga doir hal qiluv qarori yuzasidan ushbu qarorni olgan kundan e’tiboran o‘ttiz kun ichida iqtisodiy sudga hakamlik sudining hal qiluv qarorini bekor qilish haqida ariza berish yo‘li bilan nizolashishi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Hakamlik sudining iqtisodiy sudga taalluqli nizoga doir hal qiluv qarori yuzasidan huquqlari va majburiyatlari haqida hakamlik sudi hal qiluv qarorini qabul qilgan, ishda ishtirok etishga jalb qilinmagan shaxslar ham nizolashishi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Hakamlik sudining hal qiluv qarorini bekor qilish to‘g‘risida ariza berilganligi nizo bo‘yicha ish yuritish iqtisodiy sud tomonidan tugallanguniga qadar hakamlik sudi hal qiluv qarorining ijrosi bo‘yicha ish yuritishni to‘xtatib turadi.</w:t>
      </w:r>
    </w:p>
    <w:p>
      <w:pPr>
        <w:pStyle w:val="ConsPlusNonformat"/>
        <w:jc w:val="both"/>
        <w:ind w:firstLine="709"/>
        <w:spacing w:line="276" w:lineRule="auto"/>
        <w:rPr>
          <w:color w:val="000000"/>
          <w:sz w:val="28"/>
          <w:rFonts w:ascii="Times New Roman" w:hAnsi="Times New Roman"/>
        </w:rPr>
      </w:pPr>
      <w:r>
        <w:rPr>
          <w:sz w:val="28"/>
          <w:rFonts w:ascii="Times New Roman" w:hAnsi="Times New Roman"/>
        </w:rPr>
        <w:t xml:space="preserve">Mazkur Kodeksning 225-moddasiga ko‘ra, </w:t>
      </w:r>
      <w:r>
        <w:rPr>
          <w:color w:val="000000"/>
          <w:sz w:val="28"/>
          <w:rFonts w:ascii="Times New Roman" w:hAnsi="Times New Roman"/>
        </w:rPr>
        <w:t xml:space="preserve">hakamlik sudining hal qiluv qarorini bekor qilish to‘g‘risidagi ariza ushbu Kodeksda nazarda tutilgan qoidalarga binoan sudya tomonidan yakka tartibda ko‘rib chiqiladi.</w:t>
      </w:r>
    </w:p>
    <w:p>
      <w:pPr>
        <w:pStyle w:val="ConsPlusNonformat"/>
        <w:jc w:val="both"/>
        <w:ind w:firstLine="709"/>
        <w:spacing w:line="276" w:lineRule="auto"/>
        <w:rPr>
          <w:color w:val="000000"/>
          <w:sz w:val="28"/>
          <w:rFonts w:ascii="Times New Roman" w:hAnsi="Times New Roman"/>
        </w:rPr>
      </w:pPr>
      <w:r>
        <w:rPr>
          <w:color w:val="000000"/>
          <w:sz w:val="28"/>
          <w:rFonts w:ascii="Times New Roman" w:hAnsi="Times New Roman"/>
        </w:rPr>
        <w:t xml:space="preserve">Sudya ishni hakamlik muhokamasi tarafining iltimosnomasiga binoan sud muhokamasiga tayyorlayotganda iqtisodiy sudda nizolashilayotgan hal qiluv qaroriga oid ish materiallarini hakamlik sudidan ushbu Kodeksda dalillarni talab qilib olish uchun nazarda tutilgan qoidalar bo‘yicha talab qilib olishi mumkin.</w:t>
      </w:r>
    </w:p>
    <w:p>
      <w:pPr>
        <w:pStyle w:val="a7"/>
        <w:jc w:val="both"/>
        <w:ind w:firstLine="709"/>
        <w:spacing w:before="0" w:after="0" w:line="276" w:lineRule="auto"/>
        <w:rPr>
          <w:rStyle w:val="a8"/>
          <w:i w:val="false"/>
          <w:sz w:val="28"/>
          <w:rFonts w:ascii="Times New Roman" w:hAnsi="Times New Roman"/>
        </w:rPr>
      </w:pPr>
      <w:r>
        <w:rPr>
          <w:color w:val="000000"/>
          <w:sz w:val="28"/>
        </w:rPr>
        <w:t xml:space="preserve">O‘zbekiston Respublikasi Iqtisodiy protsessual kodeksining 223-227-moddalari</w:t>
      </w:r>
      <w:r>
        <w:rPr>
          <w:rStyle w:val="a8"/>
          <w:i w:val="false"/>
          <w:sz w:val="28"/>
          <w:rFonts w:ascii="Times New Roman" w:hAnsi="Times New Roman"/>
        </w:rPr>
        <w:t xml:space="preserve">ga asosan </w:t>
      </w:r>
    </w:p>
    <w:p>
      <w:pPr>
        <w:pStyle w:val="a7"/>
        <w:jc w:val="both"/>
        <w:ind w:firstLine="709"/>
        <w:spacing w:before="0" w:after="0" w:line="276" w:lineRule="auto"/>
        <w:rPr>
          <w:i/>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spacing w:line="276" w:lineRule="auto"/>
        <w:rPr>
          <w:sz w:val="28"/>
          <w:rFonts w:ascii="Times New Roman" w:hAnsi="Times New Roman"/>
        </w:rPr>
      </w:pPr>
    </w:p>
    <w:p>
      <w:pPr>
        <w:pStyle w:val="ConsPlusNonformat"/>
        <w:jc w:val="both"/>
        <w:ind w:firstLine="709"/>
        <w:spacing w:line="276" w:lineRule="auto"/>
        <w:rPr>
          <w:i/>
          <w:sz w:val="28"/>
          <w:rFonts w:ascii="Times New Roman" w:hAnsi="Times New Roman"/>
        </w:rPr>
      </w:pP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Bekor qilinishi so‘ralayotgan qarorni qabul qilgan hakamlik sudining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Bekor qilinishi so‘ralayotgan qaror qabul qilingan sana</w:t>
        <w:fldChar w:fldCharType="end"/>
      </w:r>
      <w:r>
        <w:rPr>
          <w:sz w:val="28"/>
          <w:rFonts w:ascii="Times New Roman" w:hAnsi="Times New Roman"/>
        </w:rPr>
        <w:t xml:space="preserve"> kunidagi qarorini bekor qilishingizni. </w:t>
      </w:r>
    </w:p>
    <w:p>
      <w:pPr>
        <w:pStyle w:val="ConsPlusNonformat"/>
        <w:jc w:val="both"/>
        <w:spacing w:line="276" w:lineRule="auto"/>
        <w:rPr>
          <w:sz w:val="28"/>
          <w:rFonts w:ascii="Times New Roman" w:hAnsi="Times New Roman"/>
        </w:rPr>
      </w:pPr>
    </w:p>
    <w:p>
      <w:pPr>
        <w:pStyle w:val="a3"/>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3"/>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Da’vo arizaga ilova qilinadigan hujjatlar nomi</w:t>
        <w:fldChar w:fldCharType="end"/>
      </w:r>
    </w:p>
    <w:p>
      <w:pPr>
        <w:pStyle w:val="a3"/>
        <w:jc w:val="both"/>
        <w:ind w:firstLine="900"/>
        <w:spacing w:after="0"/>
        <w:rPr>
          <w:b/>
          <w:sz w:val="28"/>
          <w:rFonts w:ascii="Times New Roman" w:hAnsi="Times New Roman"/>
        </w:rPr>
      </w:pPr>
    </w:p>
    <w:p>
      <w:pPr>
        <w:pStyle w:val="a3"/>
        <w:jc w:val="both"/>
        <w:spacing w:after="0"/>
        <w:rPr>
          <w:sz w:val="28"/>
          <w:rFonts w:ascii="Times New Roman" w:hAnsi="Times New Roman"/>
        </w:rPr>
      </w:pPr>
    </w:p>
    <w:tbl>
      <w:tblPr>
        <w:tblW w:w="0" w:type="auto"/>
      </w:tblPr>
      <w:tblGrid>
        <w:gridCol w:w="3136"/>
        <w:gridCol w:w="3102"/>
        <w:gridCol w:w="3116"/>
      </w:tblGrid>
      <w:tr>
        <w:tc>
          <w:tcPr>
            <w:tcW w:w="3190" w:type="dxa"/>
            <w:shd w:fill="auto"/>
          </w:tcPr>
          <w:p>
            <w:pPr>
              <w:pStyle w:val="a3"/>
              <w:jc w:val="both"/>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Da’vogar tashkilotning da’vo arizani imzolagan rahbarining lavozimi va F.I.Sh.i</w:t>
              <w:fldChar w:fldCharType="end"/>
            </w:r>
          </w:p>
          <w:p>
            <w:pPr>
              <w:pStyle w:val="a3"/>
              <w:jc w:val="both"/>
              <w:spacing w:after="0"/>
              <w:rPr>
                <w:sz w:val="28"/>
                <w:rFonts w:ascii="Times New Roman" w:hAnsi="Times New Roman"/>
              </w:rPr>
            </w:pPr>
          </w:p>
        </w:tc>
        <w:tc>
          <w:tcPr>
            <w:tcW w:w="3190" w:type="dxa"/>
            <w:shd w:fill="auto"/>
          </w:tcPr>
          <w:p>
            <w:pPr>
              <w:pStyle w:val="a3"/>
              <w:spacing w:after="0"/>
              <w:pBdr>
                <w:bottom w:sz="12" w:space="1" w:color="auto" w:val="single"/>
              </w:pBdr>
              <w:rPr>
                <w:sz w:val="28"/>
                <w:rFonts w:ascii="Times New Roman" w:hAnsi="Times New Roman"/>
              </w:rPr>
            </w:pPr>
          </w:p>
          <w:p>
            <w:pPr>
              <w:pStyle w:val="a3"/>
              <w:jc w:val="center"/>
              <w:spacing w:after="0"/>
              <w:rPr>
                <w:sz w:val="28"/>
                <w:rFonts w:ascii="Times New Roman" w:hAnsi="Times New Roman"/>
              </w:rPr>
            </w:pPr>
            <w:r>
              <w:rPr>
                <w:sz w:val="28"/>
                <w:rFonts w:ascii="Times New Roman" w:hAnsi="Times New Roman"/>
              </w:rPr>
              <w:t>imzo</w:t>
            </w:r>
          </w:p>
        </w:tc>
        <w:tc>
          <w:tcPr>
            <w:tcW w:w="3191" w:type="dxa"/>
            <w:shd w:fill="auto"/>
          </w:tcPr>
          <w:p>
            <w:pPr>
              <w:pStyle w:val="a3"/>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jc w:val="both"/>
        <w:spacing w:after="0"/>
        <w:rPr>
          <w:b/>
          <w:color w:val="000000"/>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51"/>
    <w:rsid w:val="0005686A"/>
    <w:rsid w:val="000A51CE"/>
    <w:rsid w:val="000B1164"/>
    <w:rsid w:val="000E2DD5"/>
    <w:rsid w:val="001027F2"/>
    <w:rsid w:val="00223A4F"/>
    <w:rsid w:val="00224164"/>
    <w:rsid w:val="002375DF"/>
    <w:rsid w:val="0028307D"/>
    <w:rsid w:val="00320BEA"/>
    <w:rsid w:val="0032133F"/>
    <w:rsid w:val="003252BE"/>
    <w:rsid w:val="0039430A"/>
    <w:rsid w:val="00395642"/>
    <w:rsid w:val="003A5923"/>
    <w:rsid w:val="003A6294"/>
    <w:rsid w:val="003C5CCC"/>
    <w:rsid w:val="003D777A"/>
    <w:rsid w:val="003F0169"/>
    <w:rsid w:val="0042612E"/>
    <w:rsid w:val="00454812"/>
    <w:rsid w:val="00491ECA"/>
    <w:rsid w:val="00501FCA"/>
    <w:rsid w:val="00525EE9"/>
    <w:rsid w:val="00572551"/>
    <w:rsid w:val="005A0FE9"/>
    <w:rsid w:val="005E7DCB"/>
    <w:rsid w:val="005F3B61"/>
    <w:rsid w:val="00621257"/>
    <w:rsid w:val="00624D0F"/>
    <w:rsid w:val="006303CC"/>
    <w:rsid w:val="006B7821"/>
    <w:rsid w:val="006C7929"/>
    <w:rsid w:val="006C7E9A"/>
    <w:rsid w:val="0073014B"/>
    <w:rsid w:val="00755DD2"/>
    <w:rsid w:val="00786E1B"/>
    <w:rsid w:val="0079646C"/>
    <w:rsid w:val="007A7F6E"/>
    <w:rsid w:val="007C0871"/>
    <w:rsid w:val="007F351C"/>
    <w:rsid w:val="00803F30"/>
    <w:rsid w:val="008052A4"/>
    <w:rsid w:val="00824F2E"/>
    <w:rsid w:val="00835A66"/>
    <w:rsid w:val="008443CC"/>
    <w:rsid w:val="00852F7B"/>
    <w:rsid w:val="008624C7"/>
    <w:rsid w:val="00874443"/>
    <w:rsid w:val="00890047"/>
    <w:rsid w:val="008E1CB0"/>
    <w:rsid w:val="008E460E"/>
    <w:rsid w:val="00903823"/>
    <w:rsid w:val="009161F1"/>
    <w:rsid w:val="00925C23"/>
    <w:rsid w:val="00940C66"/>
    <w:rsid w:val="009421E3"/>
    <w:rsid w:val="0096264E"/>
    <w:rsid w:val="009676DA"/>
    <w:rsid w:val="009E3C75"/>
    <w:rsid w:val="009E5BC7"/>
    <w:rsid w:val="00A06BD7"/>
    <w:rsid w:val="00A46F04"/>
    <w:rsid w:val="00AB24DE"/>
    <w:rsid w:val="00AB41C3"/>
    <w:rsid w:val="00AC6651"/>
    <w:rsid w:val="00AE518A"/>
    <w:rsid w:val="00AF32CF"/>
    <w:rsid w:val="00B264CF"/>
    <w:rsid w:val="00B70D33"/>
    <w:rsid w:val="00BC346E"/>
    <w:rsid w:val="00BD1E4A"/>
    <w:rsid w:val="00C04C5D"/>
    <w:rsid w:val="00C35EE2"/>
    <w:rsid w:val="00C641D3"/>
    <w:rsid w:val="00CB6C82"/>
    <w:rsid w:val="00CC0C88"/>
    <w:rsid w:val="00CE7CD8"/>
    <w:rsid w:val="00D033CA"/>
    <w:rsid w:val="00D4693C"/>
    <w:rsid w:val="00D50CED"/>
    <w:rsid w:val="00D50D5E"/>
    <w:rsid w:val="00D54A34"/>
    <w:rsid w:val="00D851A0"/>
    <w:rsid w:val="00DB4BB7"/>
    <w:rsid w:val="00DD25FD"/>
    <w:rsid w:val="00DE22DE"/>
    <w:rsid w:val="00E100EF"/>
    <w:rsid w:val="00E119DC"/>
    <w:rsid w:val="00E478E1"/>
    <w:rsid w:val="00E711B6"/>
    <w:rsid w:val="00E77C9B"/>
    <w:rsid w:val="00ED3EE2"/>
    <w:rsid w:val="00EE467E"/>
    <w:rsid w:val="00F3182B"/>
    <w:rsid w:val="00F45661"/>
    <w:rsid w:val="00F45BA1"/>
    <w:rsid w:val="00F5372A"/>
    <w:rsid w:val="00FC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E6ADC"/>
  <w15:docId w15:val="{973AC70D-E788-40BD-9479-0F58A021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4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C665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Body Text"/>
    <w:basedOn w:val="a"/>
    <w:link w:val="a4"/>
    <w:rsid w:val="00AB41C3"/>
    <w:pPr>
      <w:suppressAutoHyphens/>
      <w:spacing w:after="120"/>
    </w:pPr>
    <w:rPr>
      <w:rFonts w:ascii="Calibri" w:eastAsia="Calibri" w:hAnsi="Calibri" w:cs="Times New Roman"/>
      <w:lang w:eastAsia="zh-CN"/>
    </w:rPr>
  </w:style>
  <w:style w:type="character" w:customStyle="1" w:styleId="a4">
    <w:name w:val="Основной текст Знак"/>
    <w:basedOn w:val="a0"/>
    <w:link w:val="a3"/>
    <w:rsid w:val="00AB41C3"/>
    <w:rPr>
      <w:rFonts w:ascii="Calibri" w:eastAsia="Calibri" w:hAnsi="Calibri" w:cs="Times New Roman"/>
      <w:lang w:eastAsia="zh-CN"/>
    </w:rPr>
  </w:style>
  <w:style w:type="paragraph" w:styleId="a5">
    <w:name w:val="List Paragraph"/>
    <w:basedOn w:val="a"/>
    <w:uiPriority w:val="34"/>
    <w:qFormat/>
    <w:rsid w:val="008443CC"/>
    <w:pPr>
      <w:ind w:left="720"/>
      <w:contextualSpacing/>
    </w:pPr>
    <w:rPr>
      <w:rFonts w:ascii="Calibri" w:eastAsia="Times New Roman" w:hAnsi="Calibri" w:cs="Times New Roman"/>
    </w:rPr>
  </w:style>
  <w:style w:type="character" w:customStyle="1" w:styleId="clauseprfx">
    <w:name w:val="clauseprfx"/>
    <w:basedOn w:val="a0"/>
    <w:rsid w:val="00DD25FD"/>
  </w:style>
  <w:style w:type="character" w:customStyle="1" w:styleId="clausesuff">
    <w:name w:val="clausesuff"/>
    <w:basedOn w:val="a0"/>
    <w:rsid w:val="00DD25FD"/>
  </w:style>
  <w:style w:type="character" w:styleId="a6">
    <w:name w:val="Hyperlink"/>
    <w:basedOn w:val="a0"/>
    <w:uiPriority w:val="99"/>
    <w:semiHidden/>
    <w:unhideWhenUsed/>
    <w:rsid w:val="00DD25FD"/>
    <w:rPr>
      <w:color w:val="0000FF"/>
      <w:u w:val="single"/>
    </w:rPr>
  </w:style>
  <w:style w:type="paragraph" w:styleId="a7">
    <w:name w:val="Normal (Web)"/>
    <w:basedOn w:val="a"/>
    <w:uiPriority w:val="99"/>
    <w:unhideWhenUsed/>
    <w:rsid w:val="0005686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0568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776213">
      <w:bodyDiv w:val="1"/>
      <w:marLeft w:val="0"/>
      <w:marRight w:val="0"/>
      <w:marTop w:val="0"/>
      <w:marBottom w:val="0"/>
      <w:divBdr>
        <w:top w:val="none" w:sz="0" w:space="0" w:color="auto"/>
        <w:left w:val="none" w:sz="0" w:space="0" w:color="auto"/>
        <w:bottom w:val="none" w:sz="0" w:space="0" w:color="auto"/>
        <w:right w:val="none" w:sz="0" w:space="0" w:color="auto"/>
      </w:divBdr>
      <w:divsChild>
        <w:div w:id="1742633946">
          <w:marLeft w:val="0"/>
          <w:marRight w:val="0"/>
          <w:marTop w:val="120"/>
          <w:marBottom w:val="120"/>
          <w:divBdr>
            <w:top w:val="none" w:sz="0" w:space="0" w:color="auto"/>
            <w:left w:val="none" w:sz="0" w:space="0" w:color="auto"/>
            <w:bottom w:val="none" w:sz="0" w:space="0" w:color="auto"/>
            <w:right w:val="none" w:sz="0" w:space="0" w:color="auto"/>
          </w:divBdr>
        </w:div>
        <w:div w:id="116724461">
          <w:marLeft w:val="0"/>
          <w:marRight w:val="0"/>
          <w:marTop w:val="0"/>
          <w:marBottom w:val="150"/>
          <w:divBdr>
            <w:top w:val="none" w:sz="0" w:space="0" w:color="auto"/>
            <w:left w:val="none" w:sz="0" w:space="0" w:color="auto"/>
            <w:bottom w:val="none" w:sz="0" w:space="0" w:color="auto"/>
            <w:right w:val="none" w:sz="0" w:space="0" w:color="auto"/>
          </w:divBdr>
        </w:div>
        <w:div w:id="755590766">
          <w:marLeft w:val="0"/>
          <w:marRight w:val="0"/>
          <w:marTop w:val="0"/>
          <w:marBottom w:val="150"/>
          <w:divBdr>
            <w:top w:val="none" w:sz="0" w:space="0" w:color="auto"/>
            <w:left w:val="none" w:sz="0" w:space="0" w:color="auto"/>
            <w:bottom w:val="none" w:sz="0" w:space="0" w:color="auto"/>
            <w:right w:val="none" w:sz="0" w:space="0" w:color="auto"/>
          </w:divBdr>
        </w:div>
        <w:div w:id="777215441">
          <w:marLeft w:val="0"/>
          <w:marRight w:val="0"/>
          <w:marTop w:val="0"/>
          <w:marBottom w:val="150"/>
          <w:divBdr>
            <w:top w:val="none" w:sz="0" w:space="0" w:color="auto"/>
            <w:left w:val="none" w:sz="0" w:space="0" w:color="auto"/>
            <w:bottom w:val="none" w:sz="0" w:space="0" w:color="auto"/>
            <w:right w:val="none" w:sz="0" w:space="0" w:color="auto"/>
          </w:divBdr>
        </w:div>
      </w:divsChild>
    </w:div>
    <w:div w:id="1567840816">
      <w:bodyDiv w:val="1"/>
      <w:marLeft w:val="0"/>
      <w:marRight w:val="0"/>
      <w:marTop w:val="0"/>
      <w:marBottom w:val="0"/>
      <w:divBdr>
        <w:top w:val="none" w:sz="0" w:space="0" w:color="auto"/>
        <w:left w:val="none" w:sz="0" w:space="0" w:color="auto"/>
        <w:bottom w:val="none" w:sz="0" w:space="0" w:color="auto"/>
        <w:right w:val="none" w:sz="0" w:space="0" w:color="auto"/>
      </w:divBdr>
    </w:div>
    <w:div w:id="1608469387">
      <w:bodyDiv w:val="1"/>
      <w:marLeft w:val="0"/>
      <w:marRight w:val="0"/>
      <w:marTop w:val="0"/>
      <w:marBottom w:val="0"/>
      <w:divBdr>
        <w:top w:val="none" w:sz="0" w:space="0" w:color="auto"/>
        <w:left w:val="none" w:sz="0" w:space="0" w:color="auto"/>
        <w:bottom w:val="none" w:sz="0" w:space="0" w:color="auto"/>
        <w:right w:val="none" w:sz="0" w:space="0" w:color="auto"/>
      </w:divBdr>
      <w:divsChild>
        <w:div w:id="1381710673">
          <w:marLeft w:val="0"/>
          <w:marRight w:val="0"/>
          <w:marTop w:val="120"/>
          <w:marBottom w:val="120"/>
          <w:divBdr>
            <w:top w:val="none" w:sz="0" w:space="0" w:color="auto"/>
            <w:left w:val="none" w:sz="0" w:space="0" w:color="auto"/>
            <w:bottom w:val="none" w:sz="0" w:space="0" w:color="auto"/>
            <w:right w:val="none" w:sz="0" w:space="0" w:color="auto"/>
          </w:divBdr>
        </w:div>
        <w:div w:id="939024263">
          <w:marLeft w:val="0"/>
          <w:marRight w:val="0"/>
          <w:marTop w:val="0"/>
          <w:marBottom w:val="150"/>
          <w:divBdr>
            <w:top w:val="none" w:sz="0" w:space="0" w:color="auto"/>
            <w:left w:val="none" w:sz="0" w:space="0" w:color="auto"/>
            <w:bottom w:val="none" w:sz="0" w:space="0" w:color="auto"/>
            <w:right w:val="none" w:sz="0" w:space="0" w:color="auto"/>
          </w:divBdr>
        </w:div>
        <w:div w:id="1850217793">
          <w:marLeft w:val="0"/>
          <w:marRight w:val="0"/>
          <w:marTop w:val="0"/>
          <w:marBottom w:val="150"/>
          <w:divBdr>
            <w:top w:val="none" w:sz="0" w:space="0" w:color="auto"/>
            <w:left w:val="none" w:sz="0" w:space="0" w:color="auto"/>
            <w:bottom w:val="none" w:sz="0" w:space="0" w:color="auto"/>
            <w:right w:val="none" w:sz="0" w:space="0" w:color="auto"/>
          </w:divBdr>
        </w:div>
      </w:divsChild>
    </w:div>
    <w:div w:id="1830095006">
      <w:bodyDiv w:val="1"/>
      <w:marLeft w:val="0"/>
      <w:marRight w:val="0"/>
      <w:marTop w:val="0"/>
      <w:marBottom w:val="0"/>
      <w:divBdr>
        <w:top w:val="none" w:sz="0" w:space="0" w:color="auto"/>
        <w:left w:val="none" w:sz="0" w:space="0" w:color="auto"/>
        <w:bottom w:val="none" w:sz="0" w:space="0" w:color="auto"/>
        <w:right w:val="none" w:sz="0" w:space="0" w:color="auto"/>
      </w:divBdr>
      <w:divsChild>
        <w:div w:id="236281188">
          <w:marLeft w:val="0"/>
          <w:marRight w:val="0"/>
          <w:marTop w:val="120"/>
          <w:marBottom w:val="120"/>
          <w:divBdr>
            <w:top w:val="none" w:sz="0" w:space="0" w:color="auto"/>
            <w:left w:val="none" w:sz="0" w:space="0" w:color="auto"/>
            <w:bottom w:val="none" w:sz="0" w:space="0" w:color="auto"/>
            <w:right w:val="none" w:sz="0" w:space="0" w:color="auto"/>
          </w:divBdr>
        </w:div>
        <w:div w:id="1689258453">
          <w:marLeft w:val="0"/>
          <w:marRight w:val="0"/>
          <w:marTop w:val="0"/>
          <w:marBottom w:val="150"/>
          <w:divBdr>
            <w:top w:val="none" w:sz="0" w:space="0" w:color="auto"/>
            <w:left w:val="none" w:sz="0" w:space="0" w:color="auto"/>
            <w:bottom w:val="none" w:sz="0" w:space="0" w:color="auto"/>
            <w:right w:val="none" w:sz="0" w:space="0" w:color="auto"/>
          </w:divBdr>
        </w:div>
        <w:div w:id="1093093897">
          <w:marLeft w:val="0"/>
          <w:marRight w:val="0"/>
          <w:marTop w:val="60"/>
          <w:marBottom w:val="60"/>
          <w:divBdr>
            <w:top w:val="none" w:sz="0" w:space="0" w:color="auto"/>
            <w:left w:val="none" w:sz="0" w:space="0" w:color="auto"/>
            <w:bottom w:val="none" w:sz="0" w:space="0" w:color="auto"/>
            <w:right w:val="none" w:sz="0" w:space="0" w:color="auto"/>
          </w:divBdr>
          <w:divsChild>
            <w:div w:id="1067650261">
              <w:marLeft w:val="0"/>
              <w:marRight w:val="0"/>
              <w:marTop w:val="0"/>
              <w:marBottom w:val="0"/>
              <w:divBdr>
                <w:top w:val="none" w:sz="0" w:space="0" w:color="auto"/>
                <w:left w:val="none" w:sz="0" w:space="0" w:color="auto"/>
                <w:bottom w:val="none" w:sz="0" w:space="0" w:color="auto"/>
                <w:right w:val="none" w:sz="0" w:space="0" w:color="auto"/>
              </w:divBdr>
            </w:div>
          </w:divsChild>
        </w:div>
        <w:div w:id="1297448551">
          <w:marLeft w:val="0"/>
          <w:marRight w:val="0"/>
          <w:marTop w:val="60"/>
          <w:marBottom w:val="60"/>
          <w:divBdr>
            <w:top w:val="none" w:sz="0" w:space="0" w:color="auto"/>
            <w:left w:val="none" w:sz="0" w:space="0" w:color="auto"/>
            <w:bottom w:val="none" w:sz="0" w:space="0" w:color="auto"/>
            <w:right w:val="none" w:sz="0" w:space="0" w:color="auto"/>
          </w:divBdr>
        </w:div>
        <w:div w:id="188555688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625</Words>
  <Characters>3565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2018-08-27T14:26:00Z</cp:lastPrinted>
  <dcterms:created xsi:type="dcterms:W3CDTF">2024-02-23T05:05:00Z</dcterms:created>
  <dcterms:modified xsi:type="dcterms:W3CDTF">2024-02-23T05:05:00Z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iqtisodiy sud nomi</w:name>
    <w:value w:hidden="false">
      <w:unit w:active="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yuridik manzili</w:name>
    <w:value w:hidden="false">
      <w:unit w:active="false"/>
    </w:value>
  </w:element>
  <w:element w:id="6" w:kind="variable" w:selector="check" w:type="string" w:valueMode="normal" w:required="false" w:groupID="4">
    <w:identifier xml:space="preserve">ID6</w:identifier>
    <w:name xml:space="preserve">Da’vogar tashkilotning nomi va tashkiliy huquqiy shakli</w:name>
    <w:value w:hidden="false">
      <w:unit w:active="false"/>
    </w:value>
  </w:element>
  <w:element w:id="7" w:kind="variable" w:selector="check" w:type="string" w:valueMode="normal" w:required="false" w:groupID="4">
    <w:identifier xml:space="preserve">ID7</w:identifier>
    <w:name xml:space="preserve">Da’vogar tashkilotning da’vo arizani imzolagan rahbarining lavozimi va F.I.Sh.i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yuridik manzili</w:name>
    <w:value w:hidden="false">
      <w:unit w:active="false"/>
    </w:value>
  </w:element>
  <w:element w:id="11" w:kind="variable" w:selector="check" w:type="string" w:valueMode="normal" w:required="false" w:groupID="9">
    <w:identifier xml:space="preserve">ID11</w:identifier>
    <w:name xml:space="preserve">Javobgar tashkilotning nomi va tashkiliy huquqiy shakli</w:name>
    <w:value w:hidden="false">
      <w:unit w:active="false"/>
    </w:value>
  </w:element>
  <w:element w:id="12" w:kind="variable" w:selector="check" w:type="number"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Da’vo ariza mazmuni</w:name>
    <w:value w:hidden="true">
      <w:unit w:active="false"/>
    </w:value>
  </w:element>
  <w:element w:id="15" w:kind="variable" w:selector="check" w:type="string" w:valueMode="normal" w:required="false" w:groupID="14">
    <w:identifier xml:space="preserve">ID15</w:identifier>
    <w:name xml:space="preserve">Bekor qilinishi so‘ralayotgan qarorni qabul qilgan hakamlik sudining nomi</w:name>
    <w:value w:hidden="false">
      <w:unit w:active="false"/>
    </w:value>
  </w:element>
  <w:element w:id="16" w:kind="variable" w:selector="check" w:type="date" w:valueMode="normal" w:required="false" w:groupID="14">
    <w:identifier xml:space="preserve">ID16</w:identifier>
    <w:name xml:space="preserve">Bekor qilinishi so‘ralayotgan qaror qabul qilingan sana</w:name>
    <w:value w:hidden="false">
      <w:unit w:active="false"/>
    </w:value>
  </w:element>
  <w:element w:id="17" w:kind="variable" w:selector="check" w:type="string" w:valueMode="normal" w:required="false" w:groupID="14">
    <w:identifier xml:space="preserve">ID17</w:identifier>
    <w:name xml:space="preserve">Da’vogar va javobgar tashkilot o‘rtasida kelib chiqqan huquqiy nizoning mazmuni</w:name>
    <w:value w:hidden="false">
      <w:unit w:active="false"/>
    </w:value>
  </w:element>
  <w:element w:id="18" w:kind="variable" w:selector="check" w:type="string" w:valueMode="normal" w:required="false" w:groupID="14">
    <w:identifier xml:space="preserve">ID18</w:identifier>
    <w:name xml:space="preserve">Hakamlik sudi qarorining qisqacha mazmuni</w:name>
    <w:value w:hidden="false">
      <w:unit w:active="false"/>
    </w:value>
  </w:element>
  <w:element w:id="19" w:kind="variable" w:selector="check" w:type="string" w:valueMode="normal" w:required="false" w:groupID="14">
    <w:identifier xml:space="preserve">ID19</w:identifier>
    <w:name xml:space="preserve">Hakamlik sudi qarori qaysi asoslarga ko‘ra noqonuniy deb hisoblanadi</w:name>
    <w:comment xml:space="preserve">Изоҳ: Ушбу бандда даъвогар қайси асосларга кўра ноқонуний деб ҳисоблаши ёзилади.</w:comment>
    <w:value w:hidden="false">
      <w:unit w:active="false"/>
    </w:value>
  </w:element>
  <w:element w:id="20" w:kind="variable" w:selector="check" w:type="string" w:valueMode="normal" w:required="false" w:groupID="14">
    <w:identifier xml:space="preserve">ID20</w:identifier>
    <w:name xml:space="preserve">Da’vo arizaga ilova qilinadigan hujjatlar nomi</w:name>
    <w:value w:hidden="false">
      <w:unit w:active="false"/>
    </w:value>
  </w:element>
</w:structure>
</file>