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b"/>
        <w:tblW w:w="0" w:type="auto"/>
        <w:tblpPr w:horzAnchor="margin" w:vertAnchor="text" w:tblpY="-52"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724"/>
        <w:gridCol w:w="3621"/>
      </w:tblGrid>
      <w:tr>
        <w:tc>
          <w:tcPr>
            <w:tcW w:w="9345" w:type="dxa"/>
            <w:gridSpan w:val="2"/>
          </w:tcPr>
          <w:p>
            <w:pPr>
              <w:pStyle w:val="a3"/>
              <w:jc w:val="center"/>
              <w:rPr>
                <w:sz w:val="24"/>
                <w:rFonts w:ascii="Times New Roman" w:hAnsi="Times New Roman"/>
              </w:rPr>
            </w:pPr>
            <w:r>
              <w:rPr>
                <w:b/>
                <w:sz w:val="24"/>
                <w:rFonts w:ascii="Times New Roman" w:hAnsi="Times New Roman"/>
              </w:rPr>
              <w:t xml:space="preserve">Ichimlik suv taʼminoti va oqova suvi chiqarishShartnoma raqami</w:t>
              <w:br/>
              <w:t xml:space="preserve">xizmatlarini koʻrsatish yuzasidan  </w:t>
            </w:r>
            <w:r>
              <w:rPr>
                <w:sz w:val="24"/>
                <w:rFonts w:ascii="Times New Roman" w:hAnsi="Times New Roman"/>
              </w:rPr>
              <w:t> </w:t>
            </w:r>
            <w:r>
              <w:rPr>
                <w:sz w:val="24"/>
                <w:rFonts w:ascii="Times New Roman" w:hAnsi="Times New Roman"/>
              </w:rPr>
              <w:fldChar w:fldCharType="begin"/>
              <w:instrText xml:space="preserve">X {"Y":3}</w:instrText>
              <w:fldChar w:fldCharType="separate"/>
            </w:r>
            <w:r>
              <w:rPr>
                <w:sz w:val="24"/>
                <w:rFonts w:ascii="Times New Roman" w:hAnsi="Times New Roman"/>
              </w:rPr>
              <w:t xml:space="preserve">Shartnoma raqami</w:t>
              <w:fldChar w:fldCharType="end"/>
            </w:r>
            <w:r>
              <w:rPr>
                <w:sz w:val="24"/>
                <w:rFonts w:ascii="Times New Roman" w:hAnsi="Times New Roman"/>
              </w:rPr>
              <w:t>– </w:t>
            </w:r>
            <w:r>
              <w:rPr>
                <w:b/>
                <w:sz w:val="24"/>
                <w:rFonts w:ascii="Times New Roman" w:hAnsi="Times New Roman"/>
              </w:rPr>
              <w:t xml:space="preserve">sonli shartnoma</w:t>
            </w:r>
          </w:p>
          <w:p>
            <w:pPr>
              <w:pStyle w:val="a3"/>
              <w:jc w:val="center"/>
              <w:rPr>
                <w:b/>
                <w:sz w:val="28"/>
                <w:rFonts w:ascii="Times New Roman" w:hAnsi="Times New Roman"/>
              </w:rPr>
            </w:pPr>
          </w:p>
        </w:tc>
      </w:tr>
      <w:tr>
        <w:tc>
          <w:tcPr>
            <w:tcW w:w="5724" w:type="dxa"/>
          </w:tcPr>
          <w:p>
            <w:pPr>
              <w:pStyle w:val="a3"/>
              <w:jc w:val="center"/>
              <w:rPr>
                <w:b/>
                <w:sz w:val="28"/>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r>
              <w:rPr>
                <w:sz w:val="28"/>
                <w:rFonts w:ascii="Times New Roman" w:hAnsi="Times New Roman"/>
              </w:rPr>
              <w:t xml:space="preserve">  </w:t>
            </w:r>
          </w:p>
        </w:tc>
        <w:tc>
          <w:tcPr>
            <w:tcW w:w="3621" w:type="dxa"/>
          </w:tcPr>
          <w:p>
            <w:pPr>
              <w:pStyle w:val="a3"/>
              <w:jc w:val="center"/>
              <w:rPr>
                <w:sz w:val="28"/>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r>
              <w:rPr>
                <w:sz w:val="24"/>
                <w:rFonts w:ascii="Times New Roman" w:hAnsi="Times New Roman"/>
              </w:rPr>
              <w:t xml:space="preserve">  </w:t>
            </w:r>
          </w:p>
          <w:p>
            <w:pPr>
              <w:pStyle w:val="a3"/>
              <w:jc w:val="center"/>
              <w:rPr>
                <w:b/>
                <w:sz w:val="28"/>
                <w:rFonts w:ascii="Times New Roman" w:hAnsi="Times New Roman"/>
              </w:rPr>
            </w:pPr>
          </w:p>
        </w:tc>
      </w:tr>
      <w:tr>
        <w:tc>
          <w:tcPr>
            <w:tcW w:w="9345" w:type="dxa"/>
            <w:gridSpan w:val="2"/>
          </w:tcPr>
          <w:p>
            <w:pPr>
              <w:jc w:val="both"/>
              <w:ind w:firstLine="567"/>
              <w:spacing w:line="276" w:lineRule="auto"/>
              <w:rPr>
                <w:b/>
                <w:sz w:val="28"/>
              </w:rPr>
            </w:pPr>
            <w:r>
              <w:t xml:space="preserve">Ushbu shartnoma </w:t>
            </w:r>
            <w:r>
              <w:fldChar w:fldCharType="begin"/>
              <w:instrText xml:space="preserve">X {"Y":6}</w:instrText>
              <w:fldChar w:fldCharType="separate"/>
              <w:t xml:space="preserve">“Taʼminotchi” tarafning nomi</w:t>
            </w:r>
            <w:r>
              <w:fldChar w:fldCharType="end"/>
            </w:r>
            <w:r>
              <w:t xml:space="preserve">   suv taʼminoti korxonasi (keyingi oʻrinlarda “Taʼminotchi” deb yuritiladi) nomidan Nizom asosida ish yurituvchi </w:t>
            </w:r>
            <w:r>
              <w:fldChar w:fldCharType="begin"/>
              <w:instrText xml:space="preserve">X {"Y":7}</w:instrText>
              <w:fldChar w:fldCharType="separate"/>
              <w:t xml:space="preserve">“Taʼminotchi” taraf nomidan ish olib boruvchi shaxsning lavozimi va F.I.O.si</w:t>
            </w:r>
            <w:r>
              <w:fldChar w:fldCharType="end"/>
            </w:r>
            <w:r>
              <w:t xml:space="preserve"> bir tomondan, </w:t>
            </w:r>
            <w:r>
              <w:fldChar w:fldCharType="begin"/>
              <w:instrText xml:space="preserve">X {"Y":15}</w:instrText>
              <w:fldChar w:fldCharType="separate"/>
              <w:t xml:space="preserve">Isteʼmolchining manzili</w:t>
            </w:r>
            <w:r>
              <w:fldChar w:fldCharType="end"/>
            </w:r>
            <w:r>
              <w:t xml:space="preserve"> manzilida joylashgan xonadon egasi </w:t>
            </w:r>
            <w:r>
              <w:fldChar w:fldCharType="begin"/>
              <w:instrText xml:space="preserve">X {"Y":14}</w:instrText>
              <w:fldChar w:fldCharType="separate"/>
              <w:t xml:space="preserve">Isteʼmolchining F.I.Osi</w:t>
            </w:r>
            <w:r>
              <w:fldChar w:fldCharType="end"/>
            </w:r>
            <w:r>
              <w:t xml:space="preserve">  (keyingi oʻrinlarda “Isteʼmolchi” deb yuritiladi) ikkinchi tomondan quyidagilar haqida tuzildi.</w:t>
            </w:r>
          </w:p>
        </w:tc>
      </w:tr>
      <w:tr>
        <w:tc>
          <w:tcPr>
            <w:tcW w:w="9345" w:type="dxa"/>
            <w:gridSpan w:val="2"/>
          </w:tcPr>
          <w:p>
            <w:pPr>
              <w:pStyle w:val="a3"/>
              <w:jc w:val="center"/>
              <w:rPr>
                <w:b/>
                <w:sz w:val="24"/>
                <w:rFonts w:ascii="Times New Roman" w:hAnsi="Times New Roman"/>
              </w:rPr>
            </w:pPr>
            <w:r>
              <w:rPr>
                <w:b/>
                <w:sz w:val="24"/>
                <w:rFonts w:ascii="Times New Roman" w:hAnsi="Times New Roman"/>
              </w:rPr>
              <w:t xml:space="preserve">I. Shartnoma predmeti</w:t>
            </w:r>
          </w:p>
          <w:p>
            <w:pPr>
              <w:pStyle w:val="a3"/>
              <w:jc w:val="both"/>
              <w:ind w:firstLine="567"/>
              <w:spacing w:before="60"/>
              <w:rPr>
                <w:sz w:val="24"/>
                <w:rFonts w:ascii="Times New Roman" w:hAnsi="Times New Roman"/>
              </w:rPr>
            </w:pPr>
            <w:r>
              <w:rPr>
                <w:b/>
                <w:sz w:val="24"/>
                <w:rFonts w:ascii="Times New Roman" w:hAnsi="Times New Roman"/>
              </w:rPr>
              <w:t>1.1.</w:t>
              <w:tab/>
            </w:r>
            <w:r>
              <w:rPr>
                <w:sz w:val="24"/>
                <w:rFonts w:ascii="Times New Roman" w:hAnsi="Times New Roman"/>
              </w:rPr>
              <w:t xml:space="preserve">“Taʼminotchi” “Isteʼmolchi”ga ichimlik suvi taʼminotini amalga oshirishni va oqova suvlarni chiqarish xizmatini (keyingi oʻrinlarda xizmatlar deb yuritiladi) koʻrsatishni zimmasiga oladi.</w:t>
            </w:r>
          </w:p>
          <w:p>
            <w:pPr>
              <w:pStyle w:val="a3"/>
              <w:jc w:val="both"/>
              <w:ind w:firstLine="567"/>
              <w:spacing w:before="60"/>
              <w:rPr>
                <w:sz w:val="24"/>
                <w:rFonts w:ascii="Times New Roman" w:hAnsi="Times New Roman"/>
              </w:rPr>
            </w:pPr>
            <w:r>
              <w:rPr>
                <w:b/>
                <w:sz w:val="24"/>
                <w:rFonts w:ascii="Times New Roman" w:hAnsi="Times New Roman"/>
              </w:rPr>
              <w:t>1.2.</w:t>
            </w:r>
            <w:r>
              <w:rPr>
                <w:sz w:val="24"/>
                <w:rFonts w:ascii="Times New Roman" w:hAnsi="Times New Roman"/>
              </w:rPr>
              <w:tab/>
              <w:t xml:space="preserve">Isteʼmolchi koʻrsatilayotgan xizmatlar uchun belgilangan tartibda haq toʻlashni zimmasiga oladi.</w:t>
            </w:r>
          </w:p>
          <w:p>
            <w:pPr>
              <w:pStyle w:val="a3"/>
              <w:jc w:val="both"/>
              <w:ind w:firstLine="567"/>
              <w:spacing w:before="60"/>
              <w:rPr>
                <w:b/>
                <w:sz w:val="28"/>
                <w:rFonts w:ascii="Times New Roman" w:hAnsi="Times New Roman"/>
              </w:rPr>
            </w:pPr>
            <w:r>
              <w:rPr>
                <w:b/>
                <w:sz w:val="24"/>
                <w:rFonts w:ascii="Times New Roman" w:hAnsi="Times New Roman"/>
              </w:rPr>
              <w:t>1.3.</w:t>
              <w:tab/>
            </w:r>
            <w:r>
              <w:rPr>
                <w:sz w:val="24"/>
                <w:rFonts w:ascii="Times New Roman" w:hAnsi="Times New Roman"/>
              </w:rPr>
              <w:t xml:space="preserve">Mazkur shartnoma tomonlarning kelishuviga va Oʻzbekiston Respublikasi Vazirlar Mahkamasining 2014-yil 15-iyuldagi 194-sonli qarori bilan tasdiqlangan “Isteʼmolchilarga suv taʼminoti va oqova suvni chiqarish xizmatlari koʻrsatish qoidalari”ga asoslanadi.</w:t>
            </w:r>
          </w:p>
        </w:tc>
      </w:tr>
      <w:tr>
        <w:tc>
          <w:tcPr>
            <w:tcW w:w="9345" w:type="dxa"/>
            <w:gridSpan w:val="2"/>
          </w:tcPr>
          <w:p>
            <w:pPr>
              <w:pStyle w:val="a3"/>
              <w:jc w:val="center"/>
              <w:spacing w:before="60"/>
              <w:rPr>
                <w:b/>
                <w:sz w:val="24"/>
                <w:rFonts w:ascii="Times New Roman" w:hAnsi="Times New Roman"/>
              </w:rPr>
            </w:pPr>
            <w:r>
              <w:rPr>
                <w:b/>
                <w:sz w:val="24"/>
                <w:rFonts w:ascii="Times New Roman" w:hAnsi="Times New Roman"/>
              </w:rPr>
              <w:t xml:space="preserve">II. Umumiy qoidalar</w:t>
            </w:r>
          </w:p>
          <w:p>
            <w:pPr>
              <w:pStyle w:val="a3"/>
              <w:jc w:val="both"/>
              <w:ind w:firstLine="567"/>
              <w:rPr>
                <w:sz w:val="24"/>
                <w:rFonts w:ascii="Times New Roman" w:hAnsi="Times New Roman"/>
              </w:rPr>
            </w:pPr>
            <w:r>
              <w:rPr>
                <w:b/>
                <w:sz w:val="24"/>
                <w:rFonts w:ascii="Times New Roman" w:hAnsi="Times New Roman"/>
              </w:rPr>
              <w:t>2.1.</w:t>
            </w:r>
            <w:r>
              <w:rPr>
                <w:sz w:val="24"/>
                <w:rFonts w:ascii="Times New Roman" w:hAnsi="Times New Roman"/>
              </w:rPr>
              <w:t xml:space="preserve"> Xizmatlardan foydalaniladigan “Isteʼmolchi”ning:</w:t>
            </w:r>
          </w:p>
          <w:p>
            <w:pPr>
              <w:pStyle w:val="a3"/>
              <w:jc w:val="both"/>
              <w:ind w:firstLine="567"/>
              <w:spacing w:before="60"/>
              <w:rPr>
                <w:sz w:val="24"/>
                <w:rFonts w:ascii="Times New Roman" w:hAnsi="Times New Roman"/>
              </w:rPr>
            </w:pPr>
            <w:r>
              <w:rPr>
                <w:sz w:val="24"/>
                <w:rFonts w:ascii="Times New Roman" w:hAnsi="Times New Roman"/>
              </w:rPr>
              <w:t xml:space="preserve">Manzili: </w:t>
            </w:r>
            <w:r>
              <w:rPr>
                <w:sz w:val="24"/>
                <w:rFonts w:ascii="Times New Roman" w:hAnsi="Times New Roman"/>
              </w:rPr>
              <w:fldChar w:fldCharType="begin"/>
              <w:instrText xml:space="preserve">X {"Y":15}</w:instrText>
              <w:fldChar w:fldCharType="separate"/>
              <w:t xml:space="preserve">Isteʼmolchining manzili</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suv hisoblagich toʻgʻrisidagi maʼlumot </w:t>
            </w:r>
            <w:r>
              <w:rPr>
                <w:sz w:val="24"/>
                <w:rFonts w:ascii="Times New Roman" w:hAnsi="Times New Roman"/>
              </w:rPr>
              <w:fldChar w:fldCharType="begin"/>
              <w:instrText xml:space="preserve">X {"Y":21}</w:instrText>
              <w:fldChar w:fldCharType="separate"/>
              <w:t xml:space="preserve">“Isteʼmolchi”ning suv hisoblagich (lar) to‘g‘risidagi maʼlumot</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suv olish joylari soni </w:t>
            </w:r>
            <w:r>
              <w:rPr>
                <w:sz w:val="24"/>
                <w:rFonts w:ascii="Times New Roman" w:hAnsi="Times New Roman"/>
              </w:rPr>
              <w:fldChar w:fldCharType="begin"/>
              <w:instrText xml:space="preserve">X {"Y":22}</w:instrText>
              <w:fldChar w:fldCharType="separate"/>
              <w:t xml:space="preserve">“Isteʼmolchi”ning suv olish joylari soni (ta)</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xonalar soni (koʻp kvartilik uylar uchun) </w:t>
            </w:r>
            <w:r>
              <w:rPr>
                <w:sz w:val="24"/>
                <w:rFonts w:ascii="Times New Roman" w:hAnsi="Times New Roman"/>
              </w:rPr>
              <w:fldChar w:fldCharType="begin"/>
              <w:instrText xml:space="preserve">X {"Y":23}</w:instrText>
              <w:fldChar w:fldCharType="separate"/>
              <w:t xml:space="preserve">“Isteʼmolchi”ning xonalar soni (ko‘p kvartilik uylar uchun) (ta)</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koʻrsatilgan xizmatlar uchun toʻlovlarni amalga oshirish uchun shaxsiy hisob raqami </w:t>
            </w:r>
            <w:r>
              <w:rPr>
                <w:sz w:val="24"/>
                <w:rFonts w:ascii="Times New Roman" w:hAnsi="Times New Roman"/>
              </w:rPr>
              <w:fldChar w:fldCharType="begin"/>
              <w:instrText xml:space="preserve">X {"Y":24}</w:instrText>
              <w:fldChar w:fldCharType="separate"/>
              <w:t xml:space="preserve">“Isteʼmolchi”ning ko‘rsatilgan xizmatlar uchun to‘lovlarni amalga oshirish uchun shaxsiy hisob raqami</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telefon raqami </w:t>
            </w:r>
            <w:r>
              <w:rPr>
                <w:sz w:val="24"/>
                <w:rFonts w:ascii="Times New Roman" w:hAnsi="Times New Roman"/>
              </w:rPr>
              <w:fldChar w:fldCharType="begin"/>
              <w:instrText xml:space="preserve">X {"Y":19}</w:instrText>
              <w:fldChar w:fldCharType="separate"/>
              <w:t xml:space="preserve">Isteʼmolchining telefon raqami</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toʻlovlar boʻyicha hisoblarni qabul qilish uchun qoʻshimcha manzillari (shaxsiy kabinet, messenjer va boshqalar) </w:t>
            </w:r>
            <w:r>
              <w:rPr>
                <w:sz w:val="24"/>
                <w:rFonts w:ascii="Times New Roman" w:hAnsi="Times New Roman"/>
              </w:rPr>
              <w:fldChar w:fldCharType="begin"/>
              <w:instrText xml:space="preserve">X {"Y":25}</w:instrText>
              <w:fldChar w:fldCharType="separate"/>
              <w:t xml:space="preserve">“Isteʼmolchi”ning to‘lovlar bo‘yicha hisoblarni qabul qilish uchun qo‘shimcha manzillari (shaxsiy kabinet, messenjer va boshqalar)</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xizmatlarni qabul qilish joyi (quvurlarning xizmat koʻrsatish chegarasi) ichimlik suvi taʼminoti uchun </w:t>
            </w:r>
            <w:r>
              <w:rPr>
                <w:sz w:val="24"/>
                <w:rFonts w:ascii="Times New Roman" w:hAnsi="Times New Roman"/>
              </w:rPr>
              <w:fldChar w:fldCharType="begin"/>
              <w:instrText xml:space="preserve">X {"Y":26}</w:instrText>
              <w:fldChar w:fldCharType="separate"/>
              <w:t xml:space="preserve">Isteʼmolchi”ning xizmatlarni qabul qilish joyi (quvurlarning xizmat ko‘rsatish chegarasi) ichimlik suv taʼminoti uchun</w:t>
            </w:r>
            <w:r>
              <w:rPr>
                <w:sz w:val="24"/>
                <w:rFonts w:ascii="Times New Roman" w:hAnsi="Times New Roman"/>
              </w:rPr>
              <w:fldChar w:fldCharType="end"/>
            </w:r>
            <w:r>
              <w:rPr>
                <w:sz w:val="24"/>
                <w:rFonts w:ascii="Times New Roman" w:hAnsi="Times New Roman"/>
              </w:rPr>
              <w:t xml:space="preserve">dan va oqova suv chiqarishda oqova suv quvurining </w:t>
            </w:r>
            <w:r>
              <w:rPr>
                <w:sz w:val="24"/>
                <w:rFonts w:ascii="Times New Roman" w:hAnsi="Times New Roman"/>
              </w:rPr>
              <w:fldChar w:fldCharType="begin"/>
              <w:instrText xml:space="preserve">X {"Y":27}</w:instrText>
              <w:fldChar w:fldCharType="separate"/>
              <w:t xml:space="preserve">Isteʼmolchi”ning xizmatlarni qabul qilish joyi (quvurlarning xizmat ko‘rsatish chegarasi) oqova suv quvurining taʼminoti uchun</w:t>
            </w:r>
            <w:r>
              <w:rPr>
                <w:sz w:val="24"/>
                <w:rFonts w:ascii="Times New Roman" w:hAnsi="Times New Roman"/>
              </w:rPr>
              <w:fldChar w:fldCharType="end"/>
            </w:r>
            <w:r>
              <w:rPr>
                <w:sz w:val="24"/>
                <w:rFonts w:ascii="Times New Roman" w:hAnsi="Times New Roman"/>
              </w:rPr>
              <w:t xml:space="preserve">dan boshlab.</w:t>
            </w:r>
          </w:p>
          <w:p>
            <w:pPr>
              <w:pStyle w:val="a3"/>
              <w:jc w:val="both"/>
              <w:ind w:firstLine="567"/>
              <w:spacing w:before="60"/>
              <w:rPr>
                <w:sz w:val="24"/>
                <w:rFonts w:ascii="Times New Roman" w:hAnsi="Times New Roman"/>
              </w:rPr>
            </w:pPr>
            <w:r>
              <w:rPr>
                <w:b/>
                <w:sz w:val="24"/>
                <w:rFonts w:ascii="Times New Roman" w:hAnsi="Times New Roman"/>
              </w:rPr>
              <w:t>2.2.</w:t>
            </w:r>
            <w:r>
              <w:rPr>
                <w:sz w:val="24"/>
                <w:rFonts w:ascii="Times New Roman" w:hAnsi="Times New Roman"/>
              </w:rPr>
              <w:t xml:space="preserve"> Xizmatlar koʻrsatuvchi “Taʼminotchi”ning:</w:t>
            </w:r>
          </w:p>
          <w:p>
            <w:pPr>
              <w:pStyle w:val="a3"/>
              <w:jc w:val="both"/>
              <w:ind w:firstLine="567"/>
              <w:spacing w:before="60"/>
              <w:rPr>
                <w:sz w:val="24"/>
                <w:rFonts w:ascii="Times New Roman" w:hAnsi="Times New Roman"/>
              </w:rPr>
            </w:pPr>
            <w:r>
              <w:rPr>
                <w:sz w:val="24"/>
                <w:rFonts w:ascii="Times New Roman" w:hAnsi="Times New Roman"/>
              </w:rPr>
              <w:t xml:space="preserve">manzili </w:t>
            </w:r>
            <w:r>
              <w:rPr>
                <w:sz w:val="24"/>
                <w:rFonts w:ascii="Times New Roman" w:hAnsi="Times New Roman"/>
              </w:rPr>
              <w:fldChar w:fldCharType="begin"/>
              <w:instrText xml:space="preserve">X {"Y":8}</w:instrText>
              <w:fldChar w:fldCharType="separate"/>
              <w:t xml:space="preserve">“Taʼminotchi” tarafning manzili</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telefon raqami </w:t>
            </w:r>
            <w:r>
              <w:rPr>
                <w:sz w:val="24"/>
                <w:rFonts w:ascii="Times New Roman" w:hAnsi="Times New Roman"/>
              </w:rPr>
              <w:fldChar w:fldCharType="begin"/>
              <w:instrText xml:space="preserve">X {"Y":12}</w:instrText>
              <w:fldChar w:fldCharType="separate"/>
              <w:t xml:space="preserve">“Taʼminotchi” tarafning telefon raqami</w:t>
            </w:r>
            <w:r>
              <w:rPr>
                <w:sz w:val="24"/>
                <w:rFonts w:ascii="Times New Roman" w:hAnsi="Times New Roman"/>
              </w:rPr>
              <w:fldChar w:fldCharType="end"/>
            </w:r>
          </w:p>
          <w:p>
            <w:pPr>
              <w:pStyle w:val="a3"/>
              <w:jc w:val="both"/>
              <w:ind w:firstLine="567"/>
              <w:spacing w:before="60"/>
              <w:rPr>
                <w:sz w:val="24"/>
                <w:rFonts w:ascii="Times New Roman" w:hAnsi="Times New Roman"/>
              </w:rPr>
            </w:pPr>
            <w:r>
              <w:rPr>
                <w:sz w:val="24"/>
                <w:rFonts w:ascii="Times New Roman" w:hAnsi="Times New Roman"/>
              </w:rPr>
              <w:t xml:space="preserve">toʻlovlar boʻyicha hisoblarni maʼlum qilish uchun ijtimoyi tarmoqlardagi sahifa va dasturlari </w:t>
            </w:r>
            <w:r>
              <w:rPr>
                <w:sz w:val="24"/>
                <w:rFonts w:ascii="Times New Roman" w:hAnsi="Times New Roman"/>
              </w:rPr>
              <w:fldChar w:fldCharType="begin"/>
              <w:instrText xml:space="preserve">X {"Y":28}</w:instrText>
              <w:fldChar w:fldCharType="separate"/>
            </w:r>
            <w:r>
              <w:rPr>
                <w:sz w:val="24"/>
                <w:rFonts w:ascii="Times New Roman" w:hAnsi="Times New Roman"/>
              </w:rPr>
              <w:t xml:space="preserve">“Taʼminotchi”ning to‘lovlar bo‘yicha hisoblarni maʼlum qilish uchun ijtimoyi tarmoqlardagi sahifa va dasturlari</w:t>
              <w:fldChar w:fldCharType="end"/>
            </w:r>
          </w:p>
          <w:p>
            <w:pPr>
              <w:pStyle w:val="a3"/>
              <w:jc w:val="both"/>
              <w:ind w:firstLine="567"/>
              <w:spacing w:before="60"/>
              <w:rPr>
                <w:b/>
                <w:sz w:val="28"/>
                <w:rFonts w:ascii="Times New Roman" w:hAnsi="Times New Roman"/>
              </w:rPr>
            </w:pPr>
            <w:r>
              <w:rPr>
                <w:sz w:val="24"/>
                <w:rFonts w:ascii="Times New Roman" w:hAnsi="Times New Roman"/>
              </w:rPr>
              <w:t xml:space="preserve">xizmatlarni koʻrsatish joyi (xizmat koʻrsatish chegarasi) ichimlik suv taʼminotida </w:t>
            </w:r>
            <w:r>
              <w:rPr>
                <w:sz w:val="24"/>
                <w:rFonts w:ascii="Times New Roman" w:hAnsi="Times New Roman"/>
              </w:rPr>
              <w:fldChar w:fldCharType="begin"/>
              <w:instrText xml:space="preserve">X {"Y":29}</w:instrText>
              <w:fldChar w:fldCharType="separate"/>
              <w:t xml:space="preserve">“Taʼminotchi”ning xizmatlarni ko‘rsatish joyi (xizmat ko‘rsatish chegarasi) ichimlik suv taʼminoti uchun</w:t>
            </w:r>
            <w:r>
              <w:rPr>
                <w:sz w:val="24"/>
                <w:rFonts w:ascii="Times New Roman" w:hAnsi="Times New Roman"/>
              </w:rPr>
              <w:fldChar w:fldCharType="end"/>
            </w:r>
            <w:r>
              <w:rPr>
                <w:sz w:val="24"/>
                <w:rFonts w:ascii="Times New Roman" w:hAnsi="Times New Roman"/>
              </w:rPr>
              <w:t xml:space="preserve"> gacha va oqova suv chiqarishda oqova suv quvurining </w:t>
            </w:r>
            <w:r>
              <w:rPr>
                <w:sz w:val="24"/>
                <w:rFonts w:ascii="Times New Roman" w:hAnsi="Times New Roman"/>
              </w:rPr>
              <w:fldChar w:fldCharType="begin"/>
              <w:instrText xml:space="preserve">X {"Y":30}</w:instrText>
              <w:fldChar w:fldCharType="separate"/>
              <w:t xml:space="preserve">“Taʼminotchi”ning oqova suv chiqarishda oqova suv quvurining taʼminoti uchun</w:t>
            </w:r>
            <w:r>
              <w:rPr>
                <w:sz w:val="24"/>
                <w:rFonts w:ascii="Times New Roman" w:hAnsi="Times New Roman"/>
              </w:rPr>
              <w:fldChar w:fldCharType="end"/>
            </w:r>
            <w:r>
              <w:rPr>
                <w:sz w:val="24"/>
                <w:rFonts w:ascii="Times New Roman" w:hAnsi="Times New Roman"/>
              </w:rPr>
              <w:t>gacha.</w:t>
            </w:r>
          </w:p>
        </w:tc>
      </w:tr>
      <w:tr>
        <w:tc>
          <w:tcPr>
            <w:tcW w:w="9345" w:type="dxa"/>
            <w:gridSpan w:val="2"/>
          </w:tcPr>
          <w:p>
            <w:pPr>
              <w:pStyle w:val="a3"/>
              <w:jc w:val="center"/>
              <w:spacing w:before="60"/>
              <w:rPr>
                <w:b/>
                <w:sz w:val="24"/>
                <w:rFonts w:ascii="Times New Roman" w:hAnsi="Times New Roman"/>
              </w:rPr>
            </w:pPr>
            <w:r>
              <w:rPr>
                <w:b/>
                <w:sz w:val="24"/>
                <w:rFonts w:ascii="Times New Roman" w:hAnsi="Times New Roman"/>
              </w:rPr>
              <w:t xml:space="preserve">III. Tomonlarning majburiyat va huquqlari</w:t>
            </w:r>
          </w:p>
          <w:p>
            <w:pPr>
              <w:pStyle w:val="a3"/>
              <w:jc w:val="center"/>
              <w:spacing w:before="60"/>
              <w:rPr>
                <w:b/>
                <w:sz w:val="24"/>
                <w:rFonts w:ascii="Times New Roman" w:hAnsi="Times New Roman"/>
              </w:rPr>
            </w:pPr>
          </w:p>
          <w:p>
            <w:pPr>
              <w:pStyle w:val="a3"/>
              <w:jc w:val="both"/>
              <w:ind w:firstLine="567"/>
              <w:spacing w:before="60"/>
              <w:rPr>
                <w:sz w:val="24"/>
                <w:rFonts w:ascii="Times New Roman" w:hAnsi="Times New Roman"/>
              </w:rPr>
            </w:pPr>
            <w:r>
              <w:rPr>
                <w:b/>
                <w:sz w:val="24"/>
                <w:rFonts w:ascii="Times New Roman" w:hAnsi="Times New Roman"/>
              </w:rPr>
              <w:t xml:space="preserve">3.1. “Taʼminotchi”ning majburiyatlari:</w:t>
            </w:r>
          </w:p>
          <w:p>
            <w:pPr>
              <w:pStyle w:val="a3"/>
              <w:jc w:val="both"/>
              <w:ind w:firstLine="567"/>
              <w:spacing w:before="60"/>
              <w:rPr>
                <w:sz w:val="24"/>
                <w:rFonts w:ascii="Times New Roman" w:hAnsi="Times New Roman"/>
              </w:rPr>
            </w:pPr>
            <w:r>
              <w:rPr>
                <w:sz w:val="24"/>
                <w:rFonts w:ascii="Times New Roman" w:hAnsi="Times New Roman"/>
              </w:rPr>
              <w:t>a)</w:t>
              <w:tab/>
              <w:t xml:space="preserve">“Isteʼmolchi”ga sanitariya qoidalari va normalari, gigiyena normativlari hamda davlat standartlariga muvofiq tayyorlangan ichimlik suvni uzluksiz yetkazish;</w:t>
            </w:r>
          </w:p>
          <w:p>
            <w:pPr>
              <w:pStyle w:val="a3"/>
              <w:jc w:val="both"/>
              <w:ind w:firstLine="567"/>
              <w:spacing w:before="60"/>
              <w:rPr>
                <w:sz w:val="24"/>
                <w:rFonts w:ascii="Times New Roman" w:hAnsi="Times New Roman"/>
              </w:rPr>
            </w:pPr>
            <w:r>
              <w:rPr>
                <w:sz w:val="24"/>
                <w:rFonts w:ascii="Times New Roman" w:hAnsi="Times New Roman"/>
              </w:rPr>
              <w:t>b)</w:t>
              <w:tab/>
              <w:t xml:space="preserve">“Isteʼmolchi”ning oqova suvlarini oqova suv quvurlariga qabul qilish orqali uzluksiz olib chiqib ketish;</w:t>
            </w:r>
          </w:p>
          <w:p>
            <w:pPr>
              <w:pStyle w:val="a3"/>
              <w:jc w:val="both"/>
              <w:ind w:firstLine="567"/>
              <w:spacing w:before="60"/>
              <w:rPr>
                <w:sz w:val="24"/>
                <w:rFonts w:ascii="Times New Roman" w:hAnsi="Times New Roman"/>
              </w:rPr>
            </w:pPr>
            <w:r>
              <w:rPr>
                <w:sz w:val="24"/>
                <w:rFonts w:ascii="Times New Roman" w:hAnsi="Times New Roman"/>
              </w:rPr>
              <w:t>v)</w:t>
              <w:tab/>
              <w:t xml:space="preserve">“Isteʼmolchi”ga tegishli barcha ichimlik suvini hisoblagichlarini, zulfin va gidrantlarini plombalash;</w:t>
            </w:r>
          </w:p>
          <w:p>
            <w:pPr>
              <w:pStyle w:val="a3"/>
              <w:jc w:val="both"/>
              <w:ind w:firstLine="567"/>
              <w:spacing w:before="60"/>
              <w:rPr>
                <w:sz w:val="24"/>
                <w:rFonts w:ascii="Times New Roman" w:hAnsi="Times New Roman"/>
              </w:rPr>
            </w:pPr>
            <w:r>
              <w:rPr>
                <w:sz w:val="24"/>
                <w:rFonts w:ascii="Times New Roman" w:hAnsi="Times New Roman"/>
              </w:rPr>
              <w:t>g)</w:t>
              <w:tab/>
              <w:t xml:space="preserve">har oyda bir marotaba “Isteʼmolchi”dagi ichimlik suvi hisoblagichlari koʻrsatkichlarini qayd etish, “Isteʼmolchi”ga tegishli barcha ichimlik suvini hisoblagichlari, zulfin va gidrantlardagi taʼminotchi tomonidan oʻrnatilgan plombalar holatini oʻrganish;</w:t>
            </w:r>
          </w:p>
          <w:p>
            <w:pPr>
              <w:pStyle w:val="a3"/>
              <w:jc w:val="both"/>
              <w:ind w:firstLine="567"/>
              <w:spacing w:before="60"/>
              <w:rPr>
                <w:sz w:val="24"/>
                <w:rFonts w:ascii="Times New Roman" w:hAnsi="Times New Roman"/>
              </w:rPr>
            </w:pPr>
            <w:r>
              <w:rPr>
                <w:sz w:val="24"/>
                <w:rFonts w:ascii="Times New Roman" w:hAnsi="Times New Roman"/>
              </w:rPr>
              <w:t>d)</w:t>
              <w:tab/>
              <w:t xml:space="preserve">xizmatlar koʻrsatish boʻyicha tariflar bilan “Isteʼmolchi”ni tanishtirish, tariflar oʻzgarishi haqida “Isteʼmolchi”ni 15 kun avval ommaviy axborot vositalari yordamida xabardor qilish;</w:t>
            </w:r>
          </w:p>
          <w:p>
            <w:pPr>
              <w:pStyle w:val="a3"/>
              <w:jc w:val="both"/>
              <w:ind w:firstLine="567"/>
              <w:spacing w:before="60"/>
              <w:rPr>
                <w:sz w:val="24"/>
                <w:rFonts w:ascii="Times New Roman" w:hAnsi="Times New Roman"/>
              </w:rPr>
            </w:pPr>
            <w:r>
              <w:rPr>
                <w:sz w:val="24"/>
                <w:rFonts w:ascii="Times New Roman" w:hAnsi="Times New Roman"/>
              </w:rPr>
              <w:t>ye)</w:t>
              <w:tab/>
              <w:t xml:space="preserve">xizmatlar uchun toʻlovlarni amalga oshirish uchun har oy yakuni bilan keyingi oyning 10 sanasiga qadar “Isteʼmolchi”ga hisoblarni taqdim etish;</w:t>
            </w:r>
          </w:p>
          <w:p>
            <w:pPr>
              <w:pStyle w:val="a3"/>
              <w:jc w:val="both"/>
              <w:ind w:firstLine="567"/>
              <w:spacing w:before="60"/>
              <w:rPr>
                <w:sz w:val="24"/>
                <w:rFonts w:ascii="Times New Roman" w:hAnsi="Times New Roman"/>
              </w:rPr>
            </w:pPr>
            <w:r>
              <w:rPr>
                <w:sz w:val="24"/>
                <w:rFonts w:ascii="Times New Roman" w:hAnsi="Times New Roman"/>
              </w:rPr>
              <w:t xml:space="preserve">yo) xizmatlarni koʻrsatishda rejali toʻxtatish  haqida besh ish kun oldin “Isteʼmolchi”ni ogohlantirish;</w:t>
            </w:r>
          </w:p>
          <w:p>
            <w:pPr>
              <w:pStyle w:val="a3"/>
              <w:jc w:val="both"/>
              <w:ind w:firstLine="567"/>
              <w:spacing w:before="60"/>
              <w:rPr>
                <w:sz w:val="24"/>
                <w:rFonts w:ascii="Times New Roman" w:hAnsi="Times New Roman"/>
              </w:rPr>
            </w:pPr>
            <w:r>
              <w:rPr>
                <w:sz w:val="24"/>
                <w:rFonts w:ascii="Times New Roman" w:hAnsi="Times New Roman"/>
              </w:rPr>
              <w:t>j)</w:t>
              <w:tab/>
              <w:t xml:space="preserve">xizmatlar koʻrsatishda buzilishlar aniqlangandan boshlab bir sutka mobaynida ularning sabablari, xizmat koʻrsatishdagi toʻxtalish muddatlari va cheklanishlar, shuningdek koʻrsatilayotgan xizmat sifatlarining oʻzgarishi sabablari haqida “Isteʼmolchi”ga axborot berish;</w:t>
            </w:r>
          </w:p>
          <w:p>
            <w:pPr>
              <w:pStyle w:val="a3"/>
              <w:jc w:val="both"/>
              <w:ind w:firstLine="567"/>
              <w:spacing w:before="60"/>
              <w:rPr>
                <w:sz w:val="24"/>
                <w:rFonts w:ascii="Times New Roman" w:hAnsi="Times New Roman"/>
              </w:rPr>
            </w:pPr>
            <w:r>
              <w:rPr>
                <w:sz w:val="24"/>
                <w:rFonts w:ascii="Times New Roman" w:hAnsi="Times New Roman"/>
              </w:rPr>
              <w:t>z)</w:t>
              <w:tab/>
              <w:t xml:space="preserve">xizmatlarni koʻrsatishda rejali toʻxtash davomiyligi 12 soatdan oshganda, “Isteʼmolchi”ga transportda ichimlik suvi yetkazish;</w:t>
            </w:r>
          </w:p>
          <w:p>
            <w:pPr>
              <w:pStyle w:val="a3"/>
              <w:jc w:val="both"/>
              <w:ind w:firstLine="567"/>
              <w:spacing w:before="60"/>
              <w:rPr>
                <w:sz w:val="24"/>
                <w:rFonts w:ascii="Times New Roman" w:hAnsi="Times New Roman"/>
              </w:rPr>
            </w:pPr>
            <w:r>
              <w:rPr>
                <w:sz w:val="24"/>
                <w:rFonts w:ascii="Times New Roman" w:hAnsi="Times New Roman"/>
              </w:rPr>
              <w:t>k)</w:t>
              <w:tab/>
              <w:t xml:space="preserve">ichimlik suvi hisoblagichlaridan foydalanishning cheklangan muddati tugashidan kamida 30 kalendar kun avval “Isteʼmolchi”ni hisoblagichlaridan foydalanish muddati tugayotganligi va bu borada amalga oshirishi zarur boʻlgan tadbirlar haqida aniq manzil va telefon raqamlarni koʻrsatgan holda ogohlantirish.</w:t>
            </w:r>
          </w:p>
          <w:p>
            <w:pPr>
              <w:pStyle w:val="a3"/>
              <w:jc w:val="both"/>
              <w:ind w:firstLine="567"/>
              <w:spacing w:before="60"/>
              <w:rPr>
                <w:b/>
                <w:sz w:val="24"/>
                <w:rFonts w:ascii="Times New Roman" w:hAnsi="Times New Roman"/>
              </w:rPr>
            </w:pPr>
            <w:r>
              <w:rPr>
                <w:b/>
                <w:sz w:val="24"/>
                <w:rFonts w:ascii="Times New Roman" w:hAnsi="Times New Roman"/>
              </w:rPr>
              <w:t xml:space="preserve">3.2. “Isteʼmolchi”ning majburiyatlari:</w:t>
            </w:r>
          </w:p>
          <w:p>
            <w:pPr>
              <w:pStyle w:val="a3"/>
              <w:jc w:val="both"/>
              <w:ind w:firstLine="567"/>
              <w:spacing w:before="60"/>
              <w:rPr>
                <w:sz w:val="24"/>
                <w:rFonts w:ascii="Times New Roman" w:hAnsi="Times New Roman"/>
              </w:rPr>
            </w:pPr>
            <w:r>
              <w:rPr>
                <w:sz w:val="24"/>
                <w:rFonts w:ascii="Times New Roman" w:hAnsi="Times New Roman"/>
              </w:rPr>
              <w:t>a)</w:t>
              <w:tab/>
              <w:t xml:space="preserve">ichimlik suvidan samarali va oqilona foydalanish, ichimlik suvini behuda oqib ketishini oldini olish;</w:t>
            </w:r>
          </w:p>
          <w:p>
            <w:pPr>
              <w:pStyle w:val="a3"/>
              <w:jc w:val="both"/>
              <w:ind w:firstLine="567"/>
              <w:spacing w:before="60"/>
              <w:rPr>
                <w:sz w:val="24"/>
                <w:rFonts w:ascii="Times New Roman" w:hAnsi="Times New Roman"/>
              </w:rPr>
            </w:pPr>
            <w:r>
              <w:rPr>
                <w:sz w:val="24"/>
                <w:rFonts w:ascii="Times New Roman" w:hAnsi="Times New Roman"/>
              </w:rPr>
              <w:t>b)</w:t>
              <w:tab/>
              <w:t xml:space="preserve">hududidagi ichimlik suv va oqova suv quvurlari hamda qurilmalarining soz holatda saqlash, ularga tashqi taʼsir va obhavo sababli zarar yetishini oldini olish;</w:t>
            </w:r>
          </w:p>
          <w:p>
            <w:pPr>
              <w:pStyle w:val="a3"/>
              <w:jc w:val="both"/>
              <w:ind w:firstLine="567"/>
              <w:spacing w:before="60"/>
              <w:rPr>
                <w:sz w:val="24"/>
                <w:rFonts w:ascii="Times New Roman" w:hAnsi="Times New Roman"/>
              </w:rPr>
            </w:pPr>
            <w:r>
              <w:rPr>
                <w:sz w:val="24"/>
                <w:rFonts w:ascii="Times New Roman" w:hAnsi="Times New Roman"/>
              </w:rPr>
              <w:t>v)</w:t>
              <w:tab/>
              <w:t xml:space="preserve">ichimlik suvini hisoblagichlari, zulfin va gidrantlariga oʻrnatilgan plombalarni soz holatda saqlanishini kuzatib borish;</w:t>
            </w:r>
          </w:p>
          <w:p>
            <w:pPr>
              <w:pStyle w:val="a3"/>
              <w:jc w:val="both"/>
              <w:ind w:firstLine="567"/>
              <w:spacing w:before="60"/>
              <w:rPr>
                <w:sz w:val="24"/>
                <w:rFonts w:ascii="Times New Roman" w:hAnsi="Times New Roman"/>
              </w:rPr>
            </w:pPr>
            <w:r>
              <w:rPr>
                <w:sz w:val="24"/>
                <w:rFonts w:ascii="Times New Roman" w:hAnsi="Times New Roman"/>
              </w:rPr>
              <w:t>g)</w:t>
              <w:tab/>
              <w:t xml:space="preserve">xizmatlarni qabul qilish joyidan boshlab quvurlarda sodir boʻlgan nosozliklar haqida “Taʼminotchi”ga 24 soat ichida maʼlumot berish va “Taʼminotchi”ning texnik nazorati ostida nosozliklarni oʻz vaqtida bartaraf etish hamda buning natijasida “Taʼminotchi”ning ichimlik suvi isrof boʻlishi yuzasidan keltirilgan zararni qoplash;</w:t>
            </w:r>
          </w:p>
          <w:p>
            <w:pPr>
              <w:pStyle w:val="a3"/>
              <w:jc w:val="both"/>
              <w:ind w:firstLine="567"/>
              <w:spacing w:before="60"/>
              <w:rPr>
                <w:sz w:val="24"/>
                <w:rFonts w:ascii="Times New Roman" w:hAnsi="Times New Roman"/>
              </w:rPr>
            </w:pPr>
            <w:r>
              <w:rPr>
                <w:sz w:val="24"/>
                <w:rFonts w:ascii="Times New Roman" w:hAnsi="Times New Roman"/>
              </w:rPr>
              <w:t>d)</w:t>
              <w:tab/>
              <w:t xml:space="preserve">ichimlik suv hisoblagichlarda yaqqol koʻrinib turgan nosozliklar aniqlanganda aloqa vositalari orqali “Taʼminotchi”ni xabardor qilish;</w:t>
            </w:r>
          </w:p>
          <w:p>
            <w:pPr>
              <w:pStyle w:val="a3"/>
              <w:jc w:val="both"/>
              <w:ind w:firstLine="567"/>
              <w:spacing w:before="60"/>
              <w:rPr>
                <w:sz w:val="24"/>
                <w:rFonts w:ascii="Times New Roman" w:hAnsi="Times New Roman"/>
              </w:rPr>
            </w:pPr>
            <w:r>
              <w:rPr>
                <w:sz w:val="24"/>
                <w:rFonts w:ascii="Times New Roman" w:hAnsi="Times New Roman"/>
              </w:rPr>
              <w:t>ye)</w:t>
              <w:tab/>
              <w:t xml:space="preserve">oqovaga quvurlariga maishiy oqova suvlardan tashqari oqovalarni oqizmaslikka;</w:t>
            </w:r>
          </w:p>
          <w:p>
            <w:pPr>
              <w:pStyle w:val="a3"/>
              <w:jc w:val="both"/>
              <w:ind w:firstLine="567"/>
              <w:spacing w:before="60"/>
              <w:rPr>
                <w:sz w:val="24"/>
                <w:rFonts w:ascii="Times New Roman" w:hAnsi="Times New Roman"/>
              </w:rPr>
            </w:pPr>
            <w:r>
              <w:rPr>
                <w:sz w:val="24"/>
                <w:rFonts w:ascii="Times New Roman" w:hAnsi="Times New Roman"/>
              </w:rPr>
              <w:t>yo)</w:t>
              <w:tab/>
              <w:t xml:space="preserve">ichimlik suvi hisoblagichlari koʻrsatkichlarini qayd etish va oʻziga tegishli barcha ichimlik suvini hisoblagichlari, zulfin va gidrantlardagi plombalar holatini oʻrganish uchun “Taʼminotchi” xodimini guvohnomasi bilan tanishgan holda har oyda bir marotaba oʻz hududiga kiritish;</w:t>
            </w:r>
          </w:p>
          <w:p>
            <w:pPr>
              <w:pStyle w:val="a3"/>
              <w:jc w:val="both"/>
              <w:ind w:firstLine="567"/>
              <w:spacing w:before="60"/>
              <w:rPr>
                <w:sz w:val="24"/>
                <w:rFonts w:ascii="Times New Roman" w:hAnsi="Times New Roman"/>
              </w:rPr>
            </w:pPr>
            <w:r>
              <w:rPr>
                <w:sz w:val="24"/>
                <w:rFonts w:ascii="Times New Roman" w:hAnsi="Times New Roman"/>
              </w:rPr>
              <w:t xml:space="preserve">j) ichimlik suvi hisoblagichlaridan foydalanishning cheklangan muddati tugashi haqida “Taʼminotchi” tomonidan ogohlantirilgandan keyin kamida 30 kalendar kun ichida qiyoslashdan oʻtkazish;</w:t>
            </w:r>
          </w:p>
          <w:p>
            <w:pPr>
              <w:pStyle w:val="a3"/>
              <w:jc w:val="both"/>
              <w:ind w:firstLine="567"/>
              <w:spacing w:before="60"/>
              <w:rPr>
                <w:sz w:val="24"/>
                <w:rFonts w:ascii="Times New Roman" w:hAnsi="Times New Roman"/>
              </w:rPr>
            </w:pPr>
            <w:r>
              <w:rPr>
                <w:sz w:val="24"/>
                <w:rFonts w:ascii="Times New Roman" w:hAnsi="Times New Roman"/>
              </w:rPr>
              <w:t>z)</w:t>
              <w:tab/>
              <w:t xml:space="preserve"> “Taʼminotchi” tomonidan toʻlov boʻyicha hisoblar taqdim etilgandan soʻng xizmatlar uchun toʻlovlarni oʻz vaqtida amalga oshirish;</w:t>
            </w:r>
          </w:p>
          <w:p>
            <w:pPr>
              <w:pStyle w:val="a3"/>
              <w:jc w:val="both"/>
              <w:ind w:firstLine="567"/>
              <w:spacing w:before="60"/>
              <w:rPr>
                <w:sz w:val="24"/>
                <w:rFonts w:ascii="Times New Roman" w:hAnsi="Times New Roman"/>
              </w:rPr>
            </w:pPr>
            <w:r>
              <w:rPr>
                <w:sz w:val="24"/>
                <w:rFonts w:ascii="Times New Roman" w:hAnsi="Times New Roman"/>
              </w:rPr>
              <w:t>k)</w:t>
              <w:tab/>
              <w:t xml:space="preserve">boshqa manbaalar boʻlmaganda, faqat tungi vaqtda soat 00–00 dan 05–00 gacha ichimlik suvidan sugʻorish ishlarini amalga oshirishish.</w:t>
            </w:r>
          </w:p>
          <w:p>
            <w:pPr>
              <w:pStyle w:val="a3"/>
              <w:jc w:val="both"/>
              <w:ind w:firstLine="567"/>
              <w:spacing w:before="60"/>
              <w:rPr>
                <w:b/>
                <w:sz w:val="24"/>
                <w:rFonts w:ascii="Times New Roman" w:hAnsi="Times New Roman"/>
              </w:rPr>
            </w:pPr>
            <w:r>
              <w:rPr>
                <w:b/>
                <w:sz w:val="24"/>
                <w:rFonts w:ascii="Times New Roman" w:hAnsi="Times New Roman"/>
              </w:rPr>
              <w:t>3.3.</w:t>
              <w:tab/>
              <w:t xml:space="preserve">“Taʼminotchi”ning huquqlari:</w:t>
            </w:r>
          </w:p>
          <w:p>
            <w:pPr>
              <w:pStyle w:val="a3"/>
              <w:jc w:val="both"/>
              <w:ind w:firstLine="567"/>
              <w:spacing w:before="60"/>
              <w:rPr>
                <w:sz w:val="24"/>
                <w:rFonts w:ascii="Times New Roman" w:hAnsi="Times New Roman"/>
              </w:rPr>
            </w:pPr>
            <w:r>
              <w:rPr>
                <w:sz w:val="24"/>
                <w:rFonts w:ascii="Times New Roman" w:hAnsi="Times New Roman"/>
              </w:rPr>
              <w:t>a)</w:t>
              <w:tab/>
              <w:t xml:space="preserve">quyidagi holatlarda isteʼmolchini kamida besh ish kuni oldin ogohlantirgan holda ichimlik suvini yetkazish va oqova suvni chiqarish xizmati koʻrsatishni toʻxtatish:</w:t>
            </w:r>
          </w:p>
          <w:p>
            <w:pPr>
              <w:pStyle w:val="a3"/>
              <w:jc w:val="both"/>
              <w:ind w:firstLine="567"/>
              <w:spacing w:before="60"/>
              <w:rPr>
                <w:sz w:val="24"/>
                <w:rFonts w:ascii="Times New Roman" w:hAnsi="Times New Roman"/>
              </w:rPr>
            </w:pPr>
            <w:r>
              <w:rPr>
                <w:sz w:val="24"/>
                <w:rFonts w:ascii="Times New Roman" w:hAnsi="Times New Roman"/>
              </w:rPr>
              <w:t xml:space="preserve">istyemolchilarning ichimlik va oqova suv tarmoqlari, inshootlari texnik nosozligi natijasida behuda sarflanganda, ichimlik suvi taʼminoti tashkiloti tomonidan aniqlangan texnik kamchiliklar bartaraf etilmaganda;</w:t>
            </w:r>
          </w:p>
          <w:p>
            <w:pPr>
              <w:pStyle w:val="a3"/>
              <w:jc w:val="both"/>
              <w:ind w:firstLine="567"/>
              <w:spacing w:before="60"/>
              <w:rPr>
                <w:sz w:val="24"/>
                <w:rFonts w:ascii="Times New Roman" w:hAnsi="Times New Roman"/>
              </w:rPr>
            </w:pPr>
            <w:r>
              <w:rPr>
                <w:sz w:val="24"/>
                <w:rFonts w:ascii="Times New Roman" w:hAnsi="Times New Roman"/>
              </w:rPr>
              <w:t xml:space="preserve">koʻrsatilgan ichimlik suvi taʼminoti va oqova suvlarni chiqarish xizmatlari uchun bir oydan oshgan qarzdorligi mavjud boʻlganda;</w:t>
            </w:r>
          </w:p>
          <w:p>
            <w:pPr>
              <w:pStyle w:val="a3"/>
              <w:jc w:val="both"/>
              <w:ind w:firstLine="567"/>
              <w:spacing w:before="60"/>
              <w:rPr>
                <w:sz w:val="24"/>
                <w:rFonts w:ascii="Times New Roman" w:hAnsi="Times New Roman"/>
              </w:rPr>
            </w:pPr>
            <w:r>
              <w:rPr>
                <w:sz w:val="24"/>
                <w:rFonts w:ascii="Times New Roman" w:hAnsi="Times New Roman"/>
              </w:rPr>
              <w:t xml:space="preserve">ichimlik suvi va oqova suv tozalash inshootlari hamda quvurlarida rejali taʼmirlash, profilaktika ishlari oʻtkazilganda, shuningdek yangi isteʼmolchilarni ulash ishlari amalga oshirilganda 72 soatdan oshmagan muddatga;</w:t>
            </w:r>
          </w:p>
          <w:p>
            <w:pPr>
              <w:pStyle w:val="a3"/>
              <w:jc w:val="both"/>
              <w:ind w:firstLine="567"/>
              <w:spacing w:before="60"/>
              <w:rPr>
                <w:sz w:val="24"/>
                <w:rFonts w:ascii="Times New Roman" w:hAnsi="Times New Roman"/>
              </w:rPr>
            </w:pPr>
            <w:r>
              <w:rPr>
                <w:sz w:val="24"/>
                <w:rFonts w:ascii="Times New Roman" w:hAnsi="Times New Roman"/>
              </w:rPr>
              <w:t xml:space="preserve">isteʼmolchi tasarrufida boʻlgan suv taʼminoti va kanalizatsiya tizimlari yoki tarmoqlariga subabonentlarning oʻzboshimchalik bilan ulangani aniqlanganda;</w:t>
            </w:r>
          </w:p>
          <w:p>
            <w:pPr>
              <w:pStyle w:val="a3"/>
              <w:jc w:val="both"/>
              <w:ind w:firstLine="567"/>
              <w:spacing w:before="60"/>
              <w:rPr>
                <w:sz w:val="24"/>
                <w:rFonts w:ascii="Times New Roman" w:hAnsi="Times New Roman"/>
              </w:rPr>
            </w:pPr>
            <w:r>
              <w:rPr>
                <w:sz w:val="24"/>
                <w:rFonts w:ascii="Times New Roman" w:hAnsi="Times New Roman"/>
              </w:rPr>
              <w:t xml:space="preserve">oqovaga quvurlariga maishiy oqova suvlardan tashqari oqovalarni oqizilganda;</w:t>
            </w:r>
          </w:p>
          <w:p>
            <w:pPr>
              <w:pStyle w:val="a3"/>
              <w:jc w:val="both"/>
              <w:ind w:firstLine="567"/>
              <w:spacing w:before="60"/>
              <w:rPr>
                <w:sz w:val="24"/>
                <w:rFonts w:ascii="Times New Roman" w:hAnsi="Times New Roman"/>
              </w:rPr>
            </w:pPr>
            <w:r>
              <w:rPr>
                <w:sz w:val="24"/>
                <w:rFonts w:ascii="Times New Roman" w:hAnsi="Times New Roman"/>
              </w:rPr>
              <w:t>b)</w:t>
              <w:tab/>
              <w:t xml:space="preserve">quyidagi holatlarda isteʼmolchini ogohlantirmasdan ichimlik suvini yetkazish va oqova suvni chiqarish xizmati koʻrsatishni toʻxtatish:</w:t>
            </w:r>
          </w:p>
          <w:p>
            <w:pPr>
              <w:pStyle w:val="a3"/>
              <w:jc w:val="both"/>
              <w:ind w:firstLine="567"/>
              <w:spacing w:before="60"/>
              <w:rPr>
                <w:sz w:val="24"/>
                <w:rFonts w:ascii="Times New Roman" w:hAnsi="Times New Roman"/>
              </w:rPr>
            </w:pPr>
            <w:r>
              <w:rPr>
                <w:sz w:val="24"/>
                <w:rFonts w:ascii="Times New Roman" w:hAnsi="Times New Roman"/>
              </w:rPr>
              <w:t xml:space="preserve">tabiiy ofatlar roʻy berganda;</w:t>
            </w:r>
          </w:p>
          <w:p>
            <w:pPr>
              <w:pStyle w:val="a3"/>
              <w:jc w:val="both"/>
              <w:ind w:firstLine="567"/>
              <w:spacing w:before="60"/>
              <w:rPr>
                <w:sz w:val="24"/>
                <w:rFonts w:ascii="Times New Roman" w:hAnsi="Times New Roman"/>
              </w:rPr>
            </w:pPr>
            <w:r>
              <w:rPr>
                <w:sz w:val="24"/>
                <w:rFonts w:ascii="Times New Roman" w:hAnsi="Times New Roman"/>
              </w:rPr>
              <w:t xml:space="preserve">ichimlik suvi taʼminoti tashkiloti faoliyati bilan bogʻliq boʻlmagan holda elektr energiyasi yetkazib berish toʻxtatilganda;</w:t>
            </w:r>
          </w:p>
          <w:p>
            <w:pPr>
              <w:pStyle w:val="a3"/>
              <w:jc w:val="both"/>
              <w:ind w:firstLine="567"/>
              <w:spacing w:before="60"/>
              <w:rPr>
                <w:sz w:val="24"/>
                <w:rFonts w:ascii="Times New Roman" w:hAnsi="Times New Roman"/>
              </w:rPr>
            </w:pPr>
            <w:r>
              <w:rPr>
                <w:sz w:val="24"/>
                <w:rFonts w:ascii="Times New Roman" w:hAnsi="Times New Roman"/>
              </w:rPr>
              <w:t xml:space="preserve">ichimlik suvi va oqova suv tozalash inshootlari xamda quvurlarida avariya roʻy berganda;</w:t>
            </w:r>
          </w:p>
          <w:p>
            <w:pPr>
              <w:pStyle w:val="a3"/>
              <w:jc w:val="both"/>
              <w:ind w:firstLine="567"/>
              <w:spacing w:before="60"/>
              <w:rPr>
                <w:sz w:val="24"/>
                <w:rFonts w:ascii="Times New Roman" w:hAnsi="Times New Roman"/>
              </w:rPr>
            </w:pPr>
            <w:r>
              <w:rPr>
                <w:sz w:val="24"/>
                <w:rFonts w:ascii="Times New Roman" w:hAnsi="Times New Roman"/>
              </w:rPr>
              <w:t xml:space="preserve">yongʻin chiqqan joylarga suv uzatishni koʻpaytirishga zarurat tugʻilganda;</w:t>
            </w:r>
          </w:p>
          <w:p>
            <w:pPr>
              <w:pStyle w:val="a3"/>
              <w:jc w:val="both"/>
              <w:ind w:firstLine="567"/>
              <w:spacing w:before="60"/>
              <w:rPr>
                <w:sz w:val="24"/>
                <w:rFonts w:ascii="Times New Roman" w:hAnsi="Times New Roman"/>
              </w:rPr>
            </w:pPr>
            <w:r>
              <w:rPr>
                <w:sz w:val="24"/>
                <w:rFonts w:ascii="Times New Roman" w:hAnsi="Times New Roman"/>
              </w:rPr>
              <w:t xml:space="preserve">jismoniy va yuridik shaxslar tomonidan ichimlik suvi taʼminoti tashkilotlarining oʻz tasarrufidagi ichimlik va oqova suv tarmoqlariga oʻzboshimchalik bilan ulanish aniqlanganda;</w:t>
            </w:r>
          </w:p>
          <w:p>
            <w:pPr>
              <w:pStyle w:val="a3"/>
              <w:jc w:val="both"/>
              <w:ind w:firstLine="567"/>
              <w:spacing w:before="60"/>
              <w:rPr>
                <w:sz w:val="24"/>
                <w:rFonts w:ascii="Times New Roman" w:hAnsi="Times New Roman"/>
              </w:rPr>
            </w:pPr>
            <w:r>
              <w:rPr>
                <w:sz w:val="24"/>
                <w:rFonts w:ascii="Times New Roman" w:hAnsi="Times New Roman"/>
              </w:rPr>
              <w:t>v)</w:t>
              <w:tab/>
              <w:t xml:space="preserve">har oyda bir marotaba ichimlik suvi hisoblagichlari koʻrsatkichlarini qayd etish, ichimlik suvini hisoblagichlari, zulfin va gidrantlardagi taʼminotchi tomonidan oʻrnatilgan plombalar holatini oʻrganishi uchun isteʼmolchilarning xududlariga kirish;</w:t>
            </w:r>
          </w:p>
          <w:p>
            <w:pPr>
              <w:pStyle w:val="a3"/>
              <w:jc w:val="both"/>
              <w:ind w:firstLine="567"/>
              <w:spacing w:before="60"/>
              <w:rPr>
                <w:sz w:val="24"/>
                <w:rFonts w:ascii="Times New Roman" w:hAnsi="Times New Roman"/>
              </w:rPr>
            </w:pPr>
            <w:r>
              <w:rPr>
                <w:sz w:val="24"/>
                <w:rFonts w:ascii="Times New Roman" w:hAnsi="Times New Roman"/>
              </w:rPr>
              <w:t>g)</w:t>
              <w:tab/>
              <w:t xml:space="preserve">ichimlik suv taʼminoti va oqova suv chiqarish xizmatlari koʻrsatish qoidalarini buzilishi holatlari boʻyicha davlat nazorati organini yozma yoki elektron shaklda xabardor qilish.</w:t>
            </w:r>
          </w:p>
          <w:p>
            <w:pPr>
              <w:pStyle w:val="a3"/>
              <w:jc w:val="both"/>
              <w:ind w:firstLine="567"/>
              <w:spacing w:before="60"/>
              <w:rPr>
                <w:b/>
                <w:sz w:val="24"/>
                <w:rFonts w:ascii="Times New Roman" w:hAnsi="Times New Roman"/>
              </w:rPr>
            </w:pPr>
            <w:r>
              <w:rPr>
                <w:b/>
                <w:sz w:val="24"/>
                <w:rFonts w:ascii="Times New Roman" w:hAnsi="Times New Roman"/>
              </w:rPr>
              <w:t xml:space="preserve">3.4. Isteʼmolchining huquqlari</w:t>
            </w:r>
          </w:p>
          <w:p>
            <w:pPr>
              <w:pStyle w:val="a3"/>
              <w:jc w:val="both"/>
              <w:ind w:firstLine="567"/>
              <w:spacing w:before="60"/>
              <w:rPr>
                <w:sz w:val="24"/>
                <w:rFonts w:ascii="Times New Roman" w:hAnsi="Times New Roman"/>
              </w:rPr>
            </w:pPr>
            <w:r>
              <w:rPr>
                <w:sz w:val="24"/>
                <w:rFonts w:ascii="Times New Roman" w:hAnsi="Times New Roman"/>
              </w:rPr>
              <w:t>a)</w:t>
              <w:tab/>
              <w:t xml:space="preserve">xizmatlar uzluksiz amalga oshirilishini, oʻz hayoti va sogʻligʻiga, mulkiga xavf tugʻdirmaydigan darajadagi sifat va miqdorda ichimlik suv berilishini talab qilish;</w:t>
            </w:r>
          </w:p>
          <w:p>
            <w:pPr>
              <w:pStyle w:val="a3"/>
              <w:jc w:val="both"/>
              <w:ind w:firstLine="567"/>
              <w:spacing w:before="60"/>
              <w:rPr>
                <w:sz w:val="24"/>
                <w:rFonts w:ascii="Times New Roman" w:hAnsi="Times New Roman"/>
              </w:rPr>
            </w:pPr>
            <w:r>
              <w:rPr>
                <w:sz w:val="24"/>
                <w:rFonts w:ascii="Times New Roman" w:hAnsi="Times New Roman"/>
              </w:rPr>
              <w:t>b)</w:t>
              <w:tab/>
              <w:t xml:space="preserve">“Taʼminotchi”dan ichimlik suvini hisoblagichlarini oʻrnatish, ularni belgilangan tartibda va muddatlarda nazoratdan oʻtkazishni talab qilish;</w:t>
            </w:r>
          </w:p>
          <w:p>
            <w:pPr>
              <w:pStyle w:val="a3"/>
              <w:jc w:val="both"/>
              <w:ind w:firstLine="567"/>
              <w:spacing w:before="60"/>
              <w:rPr>
                <w:sz w:val="24"/>
                <w:rFonts w:ascii="Times New Roman" w:hAnsi="Times New Roman"/>
              </w:rPr>
            </w:pPr>
            <w:r>
              <w:rPr>
                <w:sz w:val="24"/>
                <w:rFonts w:ascii="Times New Roman" w:hAnsi="Times New Roman"/>
              </w:rPr>
              <w:t>v)</w:t>
              <w:tab/>
              <w:t xml:space="preserve">xizmatlarining uzluksiz amalga oshirilishini, oʻz hayoti, sogʻligʻiga va mol-mulkiga xavf tugʻdirmaydigan darajadagi sifat va miqdorda ichimlik suvi berilishini, majburiyatlar lozim bajarilmaganda suv taʼminoti tashkilotidan shartnomada nazarda tutilgan miqdorda jarima (penya)lar toʻlashni talab qilish;</w:t>
            </w:r>
          </w:p>
          <w:p>
            <w:pPr>
              <w:pStyle w:val="a3"/>
              <w:jc w:val="both"/>
              <w:ind w:firstLine="567"/>
              <w:spacing w:before="60"/>
              <w:rPr>
                <w:sz w:val="24"/>
                <w:rFonts w:ascii="Times New Roman" w:hAnsi="Times New Roman"/>
              </w:rPr>
            </w:pPr>
            <w:r>
              <w:rPr>
                <w:sz w:val="24"/>
                <w:rFonts w:ascii="Times New Roman" w:hAnsi="Times New Roman"/>
              </w:rPr>
              <w:t>g)</w:t>
              <w:tab/>
              <w:t xml:space="preserve">xizmatlar boʻyicha tegishli toʻlovlarni toʻliq amalga oshirgan holda shartnomani bir tomonlama bekor qilish;</w:t>
            </w:r>
          </w:p>
          <w:p>
            <w:pPr>
              <w:pStyle w:val="a3"/>
              <w:jc w:val="both"/>
              <w:ind w:firstLine="567"/>
              <w:spacing w:before="60"/>
              <w:rPr>
                <w:sz w:val="24"/>
                <w:rFonts w:ascii="Times New Roman" w:hAnsi="Times New Roman"/>
              </w:rPr>
            </w:pPr>
            <w:r>
              <w:rPr>
                <w:sz w:val="24"/>
                <w:rFonts w:ascii="Times New Roman" w:hAnsi="Times New Roman"/>
              </w:rPr>
              <w:t>ye)</w:t>
              <w:tab/>
              <w:t xml:space="preserve">ichimlik suvi taʼminoti va oqova suv chiqarish xizmatlarini isteʼmol qilishda qarzdorligi boʻyicha suv taʼminoti tashkilotidan maʼlumotlarni bepul olish;</w:t>
            </w:r>
          </w:p>
          <w:p>
            <w:pPr>
              <w:pStyle w:val="a3"/>
              <w:jc w:val="both"/>
              <w:ind w:firstLine="567"/>
              <w:spacing w:before="60"/>
              <w:rPr>
                <w:sz w:val="24"/>
                <w:rFonts w:ascii="Times New Roman" w:hAnsi="Times New Roman"/>
              </w:rPr>
            </w:pPr>
            <w:r>
              <w:rPr>
                <w:sz w:val="24"/>
                <w:rFonts w:ascii="Times New Roman" w:hAnsi="Times New Roman"/>
              </w:rPr>
              <w:t>yo)</w:t>
              <w:tab/>
              <w:t xml:space="preserve">ISKX tashkilotidan ichimlik suv taʼminoti va oqova suvni chiqarish xizmatlari hajmi va sifati, ularni amalga oshirish shartlari, toʻlovlar tarifi va tartiblarining oʻzgarishi haqidagi maʼlumotlarni bepul olish;</w:t>
            </w:r>
          </w:p>
          <w:p>
            <w:pPr>
              <w:pStyle w:val="a3"/>
              <w:jc w:val="both"/>
              <w:ind w:firstLine="567"/>
              <w:spacing w:before="60"/>
              <w:rPr>
                <w:sz w:val="24"/>
                <w:rFonts w:ascii="Times New Roman" w:hAnsi="Times New Roman"/>
              </w:rPr>
            </w:pPr>
            <w:r>
              <w:rPr>
                <w:sz w:val="24"/>
                <w:rFonts w:ascii="Times New Roman" w:hAnsi="Times New Roman"/>
              </w:rPr>
              <w:t xml:space="preserve">j) ichimlik suv taʼminoti va oqova suvni chiqarish boʻyicha xizmatlar koʻrsatilmayotganligi yoki ularning past sifatda ekanligi toʻgʻrisidagi dalolatnoma taqdim etilgandan keyin 18 soat mobaynida ISKX tashkilotidan nosozlik va kamchiliklarni bartaraf etish chora-tadbirlari toʻgʻrisidagi maʼlumotlarni olish;</w:t>
            </w:r>
          </w:p>
          <w:p>
            <w:pPr>
              <w:pStyle w:val="a3"/>
              <w:jc w:val="both"/>
              <w:ind w:firstLine="567"/>
              <w:spacing w:before="60"/>
              <w:rPr>
                <w:sz w:val="24"/>
                <w:rFonts w:ascii="Times New Roman" w:hAnsi="Times New Roman"/>
              </w:rPr>
            </w:pPr>
            <w:r>
              <w:rPr>
                <w:sz w:val="24"/>
                <w:rFonts w:ascii="Times New Roman" w:hAnsi="Times New Roman"/>
              </w:rPr>
              <w:t>z)</w:t>
              <w:tab/>
              <w:t xml:space="preserve">sanitariya qoidalari va normalari, gigiyena normativlari hamda davlat standartlariga muvofiq boʻlmagan ichimlik suvi yetkazish aniqlangan davrdan u tegishli darajaga olib kelingan vaqtga qadar qayta hisob-kitob amalga oshirilishini talab qilish;</w:t>
            </w:r>
          </w:p>
          <w:p>
            <w:pPr>
              <w:pStyle w:val="a3"/>
              <w:jc w:val="both"/>
              <w:ind w:firstLine="567"/>
              <w:spacing w:before="60"/>
              <w:rPr>
                <w:b/>
                <w:sz w:val="28"/>
                <w:rFonts w:ascii="Times New Roman" w:hAnsi="Times New Roman"/>
              </w:rPr>
            </w:pPr>
            <w:r>
              <w:rPr>
                <w:sz w:val="24"/>
                <w:rFonts w:ascii="Times New Roman" w:hAnsi="Times New Roman"/>
              </w:rPr>
              <w:t>k)</w:t>
              <w:tab/>
              <w:t xml:space="preserve">ortiqcha hisoblanib, undirilgan toʻlovlarni ichimlik suvi taʼminoti tashkilotidan qaytarilishini talab qilish.</w:t>
            </w:r>
          </w:p>
        </w:tc>
      </w:tr>
      <w:tr>
        <w:tc>
          <w:tcPr>
            <w:tcW w:w="9345" w:type="dxa"/>
            <w:gridSpan w:val="2"/>
          </w:tcPr>
          <w:p>
            <w:pPr>
              <w:pStyle w:val="a3"/>
              <w:jc w:val="center"/>
              <w:spacing w:before="60"/>
              <w:rPr>
                <w:b/>
                <w:sz w:val="24"/>
                <w:rFonts w:ascii="Times New Roman" w:hAnsi="Times New Roman"/>
              </w:rPr>
            </w:pPr>
            <w:r>
              <w:rPr>
                <w:b/>
                <w:sz w:val="24"/>
                <w:rFonts w:ascii="Times New Roman" w:hAnsi="Times New Roman"/>
              </w:rPr>
              <w:t xml:space="preserve">IV. Xizmatlarni hisobga olish va toʻlovlarni hisob-kitob</w:t>
              <w:br/>
              <w:t xml:space="preserve">qilish tartibi</w:t>
            </w:r>
          </w:p>
          <w:p>
            <w:pPr>
              <w:pStyle w:val="a3"/>
              <w:jc w:val="center"/>
              <w:spacing w:before="60"/>
              <w:rPr>
                <w:b/>
                <w:sz w:val="24"/>
                <w:rFonts w:ascii="Times New Roman" w:hAnsi="Times New Roman"/>
              </w:rPr>
            </w:pPr>
          </w:p>
          <w:p>
            <w:pPr>
              <w:pStyle w:val="a3"/>
              <w:jc w:val="both"/>
              <w:ind w:firstLine="567"/>
              <w:spacing w:before="60"/>
              <w:rPr>
                <w:sz w:val="24"/>
                <w:rFonts w:ascii="Times New Roman" w:hAnsi="Times New Roman"/>
              </w:rPr>
            </w:pPr>
            <w:r>
              <w:rPr>
                <w:b/>
                <w:sz w:val="24"/>
                <w:rFonts w:ascii="Times New Roman" w:hAnsi="Times New Roman"/>
              </w:rPr>
              <w:t>4.1.</w:t>
            </w:r>
            <w:r>
              <w:rPr>
                <w:sz w:val="24"/>
                <w:rFonts w:ascii="Times New Roman" w:hAnsi="Times New Roman"/>
              </w:rPr>
              <w:tab/>
              <w:t xml:space="preserve">“Taʼminotchi” tomonidan yetkazib berilgan ichimlik suvining miqdori hisoblagich koʻrsatkichlari boʻyicha aniqlanadi. </w:t>
            </w:r>
          </w:p>
          <w:p>
            <w:pPr>
              <w:pStyle w:val="a3"/>
              <w:jc w:val="both"/>
              <w:ind w:firstLine="567"/>
              <w:spacing w:before="60"/>
              <w:rPr>
                <w:sz w:val="24"/>
                <w:rFonts w:ascii="Times New Roman" w:hAnsi="Times New Roman"/>
              </w:rPr>
            </w:pPr>
            <w:r>
              <w:rPr>
                <w:b/>
                <w:sz w:val="24"/>
                <w:rFonts w:ascii="Times New Roman" w:hAnsi="Times New Roman"/>
              </w:rPr>
              <w:t>4.2.</w:t>
            </w:r>
            <w:r>
              <w:rPr>
                <w:sz w:val="24"/>
                <w:rFonts w:ascii="Times New Roman" w:hAnsi="Times New Roman"/>
              </w:rPr>
              <w:tab/>
              <w:t xml:space="preserve">“Isteʼmolchi”da ichimlik suvi hisoblagichi mavjud boʻlmaganda, u tomonidan sarflangan ichimlik suvi miqdori Qoraqalpogʻiston Respublikasi Vazirlar Kengashi, viloyatlar va Toshkent shahar hokimliklari tomonidan tasdiqlangan suv isteʼmoli normalariga muvofiq aniqlanadi.</w:t>
            </w:r>
          </w:p>
          <w:p>
            <w:pPr>
              <w:pStyle w:val="a3"/>
              <w:jc w:val="both"/>
              <w:ind w:firstLine="567"/>
              <w:spacing w:before="60"/>
              <w:rPr>
                <w:sz w:val="24"/>
                <w:rFonts w:ascii="Times New Roman" w:hAnsi="Times New Roman"/>
              </w:rPr>
            </w:pPr>
            <w:r>
              <w:rPr>
                <w:b/>
                <w:sz w:val="24"/>
                <w:rFonts w:ascii="Times New Roman" w:hAnsi="Times New Roman"/>
              </w:rPr>
              <w:t>4.3.</w:t>
            </w:r>
            <w:r>
              <w:rPr>
                <w:sz w:val="24"/>
                <w:rFonts w:ascii="Times New Roman" w:hAnsi="Times New Roman"/>
              </w:rPr>
              <w:tab/>
              <w:t xml:space="preserve">“Isteʼmolchi”ning oqova tizimiga chiqariladigan oqova suvlari miqdori ichimlik suv taʼminoti tizimidan sarflangan suv miqdoriga teng deb qabul qilinadi. </w:t>
            </w:r>
          </w:p>
          <w:p>
            <w:pPr>
              <w:pStyle w:val="a3"/>
              <w:jc w:val="both"/>
              <w:ind w:firstLine="567"/>
              <w:spacing w:before="60"/>
              <w:rPr>
                <w:sz w:val="24"/>
                <w:rFonts w:ascii="Times New Roman" w:hAnsi="Times New Roman"/>
              </w:rPr>
            </w:pPr>
            <w:r>
              <w:rPr>
                <w:b/>
                <w:sz w:val="24"/>
                <w:rFonts w:ascii="Times New Roman" w:hAnsi="Times New Roman"/>
              </w:rPr>
              <w:t>4.4.</w:t>
            </w:r>
            <w:r>
              <w:rPr>
                <w:sz w:val="24"/>
                <w:rFonts w:ascii="Times New Roman" w:hAnsi="Times New Roman"/>
              </w:rPr>
              <w:tab/>
              <w:t xml:space="preserve">Markazlashtirilgan issiq suv taʼminoti va boshqa suv quvurlaridan (manbalardan) oʻz ehtiyojlari uchun qoʻshimcha suv sarflanganda:</w:t>
            </w:r>
          </w:p>
          <w:p>
            <w:pPr>
              <w:pStyle w:val="a3"/>
              <w:jc w:val="both"/>
              <w:ind w:firstLine="567"/>
              <w:spacing w:before="60"/>
              <w:rPr>
                <w:sz w:val="24"/>
                <w:rFonts w:ascii="Times New Roman" w:hAnsi="Times New Roman"/>
              </w:rPr>
            </w:pPr>
            <w:r>
              <w:rPr>
                <w:sz w:val="24"/>
                <w:rFonts w:ascii="Times New Roman" w:hAnsi="Times New Roman"/>
              </w:rPr>
              <w:t xml:space="preserve">markazlashtirilgan issiq suv sarflanganda qoʻshimcha suvning hisoblagichlari koʻrsatkichlari boʻyicha yoki hisoblagichlar bilan taʼminlanmaganda olingan ichimlik suvining ikki barobari miqdorida;</w:t>
            </w:r>
          </w:p>
          <w:p>
            <w:pPr>
              <w:pStyle w:val="a3"/>
              <w:jc w:val="both"/>
              <w:ind w:firstLine="567"/>
              <w:spacing w:before="60"/>
              <w:rPr>
                <w:sz w:val="24"/>
                <w:rFonts w:ascii="Times New Roman" w:hAnsi="Times New Roman"/>
              </w:rPr>
            </w:pPr>
            <w:r>
              <w:rPr>
                <w:sz w:val="24"/>
                <w:rFonts w:ascii="Times New Roman" w:hAnsi="Times New Roman"/>
              </w:rPr>
              <w:t xml:space="preserve">boshqa suv quvurlaridan (manbalardan) suv sarflanganda qoʻshimcha suvning hisoblagichlari koʻrsatkichlari boʻyicha yoki hisoblagichlar bilan taʼminlanmaganda suv olish manbalarini quvvati boʻyicha oqova suv miqdori hisoblanadi.</w:t>
            </w:r>
          </w:p>
          <w:p>
            <w:pPr>
              <w:pStyle w:val="a3"/>
              <w:jc w:val="both"/>
              <w:ind w:firstLine="567"/>
              <w:spacing w:before="60"/>
              <w:rPr>
                <w:sz w:val="24"/>
                <w:rFonts w:ascii="Times New Roman" w:hAnsi="Times New Roman"/>
              </w:rPr>
            </w:pPr>
            <w:r>
              <w:rPr>
                <w:b/>
                <w:sz w:val="24"/>
                <w:rFonts w:ascii="Times New Roman" w:hAnsi="Times New Roman"/>
              </w:rPr>
              <w:t>4.5.</w:t>
            </w:r>
            <w:r>
              <w:rPr>
                <w:sz w:val="24"/>
                <w:rFonts w:ascii="Times New Roman" w:hAnsi="Times New Roman"/>
              </w:rPr>
              <w:tab/>
              <w:t xml:space="preserve">“Isteʼmolchi” oʻtgan oy uchun koʻrsatilgan xizmatlar uchun keyingi oyning 10-sanasiga haq toʻlashni amalga oshirishlari shart.</w:t>
            </w:r>
          </w:p>
          <w:p>
            <w:pPr>
              <w:pStyle w:val="a3"/>
              <w:jc w:val="both"/>
              <w:ind w:firstLine="567"/>
              <w:spacing w:before="60"/>
              <w:rPr>
                <w:sz w:val="24"/>
                <w:rFonts w:ascii="Times New Roman" w:hAnsi="Times New Roman"/>
              </w:rPr>
            </w:pPr>
            <w:r>
              <w:rPr>
                <w:b/>
                <w:sz w:val="24"/>
                <w:rFonts w:ascii="Times New Roman" w:hAnsi="Times New Roman"/>
              </w:rPr>
              <w:t>4.6.</w:t>
            </w:r>
            <w:r>
              <w:rPr>
                <w:sz w:val="24"/>
                <w:rFonts w:ascii="Times New Roman" w:hAnsi="Times New Roman"/>
              </w:rPr>
              <w:tab/>
              <w:t xml:space="preserve">Koʻrsatilgan hizmatlar miqdoriga tariflarni koʻpaytirgan holda hamda mahsus ustama haqni qoʻshgan holda koʻrsatilgan hizmatlarning toʻlov miqdori aniqlanadi. Mazkur shartnomaning 4.2. bandida keltirilgan holatda belgilangan tariflarga orttiriluvchi 1,5 koeffitsiyentini qoʻllab hisoblanadi.</w:t>
            </w:r>
          </w:p>
          <w:p>
            <w:pPr>
              <w:pStyle w:val="a3"/>
              <w:jc w:val="both"/>
              <w:ind w:firstLine="567"/>
              <w:spacing w:before="60"/>
              <w:rPr>
                <w:sz w:val="24"/>
                <w:rFonts w:ascii="Times New Roman" w:hAnsi="Times New Roman"/>
              </w:rPr>
            </w:pPr>
            <w:r>
              <w:rPr>
                <w:b/>
                <w:sz w:val="24"/>
                <w:rFonts w:ascii="Times New Roman" w:hAnsi="Times New Roman"/>
              </w:rPr>
              <w:t>4.7.</w:t>
            </w:r>
            <w:r>
              <w:rPr>
                <w:sz w:val="24"/>
                <w:rFonts w:ascii="Times New Roman" w:hAnsi="Times New Roman"/>
              </w:rPr>
              <w:tab/>
              <w:t xml:space="preserve">Koʻrsatiladigan xizmatlarning tariflari va ustama haq miqdori quyidagicha:</w:t>
            </w:r>
          </w:p>
          <w:p>
            <w:pPr>
              <w:pStyle w:val="a3"/>
              <w:jc w:val="both"/>
              <w:ind w:firstLine="567"/>
              <w:spacing w:before="60"/>
              <w:rPr>
                <w:sz w:val="24"/>
                <w:rFonts w:ascii="Times New Roman" w:hAnsi="Times New Roman"/>
              </w:rPr>
            </w:pPr>
            <w:r>
              <w:rPr>
                <w:sz w:val="24"/>
                <w:rFonts w:ascii="Times New Roman" w:hAnsi="Times New Roman"/>
              </w:rPr>
              <w:t xml:space="preserve">1 m3 ichimlik suv:</w:t>
            </w:r>
          </w:p>
          <w:p>
            <w:pPr>
              <w:pStyle w:val="a3"/>
              <w:jc w:val="both"/>
              <w:ind w:firstLine="567"/>
              <w:spacing w:before="60"/>
              <w:rPr>
                <w:sz w:val="24"/>
                <w:rFonts w:ascii="Times New Roman" w:hAnsi="Times New Roman"/>
              </w:rPr>
            </w:pPr>
            <w:r>
              <w:rPr>
                <w:vanish w:val="false"/>
                <w:sz w:val="24"/>
                <w:rFonts w:ascii="Times New Roman" w:hAnsi="Times New Roman"/>
              </w:rPr>
              <w:fldChar w:fldCharType="begin"/>
              <w:instrText xml:space="preserve">X {"Y":31}</w:instrText>
              <w:fldChar w:fldCharType="separate"/>
              <w:t xml:space="preserve">1 m3 ichimlik suv uchun tarif narxi</w:t>
            </w:r>
            <w:r>
              <w:rPr>
                <w:vanish w:val="false"/>
                <w:sz w:val="24"/>
                <w:rFonts w:ascii="Times New Roman" w:hAnsi="Times New Roman"/>
              </w:rPr>
              <w:fldChar w:fldCharType="end"/>
            </w:r>
            <w:r>
              <w:rPr>
                <w:sz w:val="24"/>
                <w:rFonts w:ascii="Times New Roman" w:hAnsi="Times New Roman"/>
              </w:rPr>
              <w:t xml:space="preserve">soʻm tarif narxi; </w:t>
            </w:r>
          </w:p>
          <w:p>
            <w:pPr>
              <w:pStyle w:val="a3"/>
              <w:jc w:val="both"/>
              <w:ind w:firstLine="567"/>
              <w:spacing w:before="60"/>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1 m3 ichimlik suv uchun maxsus ustama xaq narxi</w:t>
            </w:r>
            <w:r>
              <w:rPr>
                <w:vanish w:val="false"/>
                <w:sz w:val="24"/>
                <w:rFonts w:ascii="Times New Roman" w:hAnsi="Times New Roman"/>
              </w:rPr>
              <w:fldChar w:fldCharType="end"/>
            </w:r>
            <w:r>
              <w:rPr>
                <w:sz w:val="24"/>
                <w:rFonts w:ascii="Times New Roman" w:hAnsi="Times New Roman"/>
              </w:rPr>
              <w:t xml:space="preserve"> soʻm maxsus ustama xaq.</w:t>
            </w:r>
          </w:p>
          <w:p>
            <w:pPr>
              <w:pStyle w:val="a3"/>
              <w:jc w:val="both"/>
              <w:ind w:firstLine="567"/>
              <w:spacing w:before="60"/>
              <w:rPr>
                <w:sz w:val="24"/>
                <w:rFonts w:ascii="Times New Roman" w:hAnsi="Times New Roman"/>
              </w:rPr>
            </w:pPr>
            <w:r>
              <w:rPr>
                <w:sz w:val="24"/>
                <w:rFonts w:ascii="Times New Roman" w:hAnsi="Times New Roman"/>
              </w:rPr>
              <w:t xml:space="preserve">1 m3 oqova suv olib chiqish xizmati:</w:t>
            </w:r>
          </w:p>
          <w:p>
            <w:pPr>
              <w:pStyle w:val="a3"/>
              <w:jc w:val="both"/>
              <w:ind w:firstLine="567"/>
              <w:spacing w:before="60"/>
              <w:rPr>
                <w:sz w:val="24"/>
                <w:rFonts w:ascii="Times New Roman" w:hAnsi="Times New Roman"/>
              </w:rPr>
            </w:pPr>
            <w:r>
              <w:rPr>
                <w:vanish w:val="false"/>
                <w:sz w:val="24"/>
                <w:rFonts w:ascii="Times New Roman" w:hAnsi="Times New Roman"/>
              </w:rPr>
              <w:fldChar w:fldCharType="begin"/>
              <w:instrText xml:space="preserve">X {"Y":33}</w:instrText>
              <w:fldChar w:fldCharType="separate"/>
              <w:t xml:space="preserve">1 m3 oqova suv olib chiqish xizmati uchun tarif narxi </w:t>
            </w:r>
            <w:r>
              <w:rPr>
                <w:vanish w:val="false"/>
                <w:sz w:val="24"/>
                <w:rFonts w:ascii="Times New Roman" w:hAnsi="Times New Roman"/>
              </w:rPr>
              <w:fldChar w:fldCharType="end"/>
            </w:r>
            <w:r>
              <w:rPr>
                <w:sz w:val="24"/>
                <w:rFonts w:ascii="Times New Roman" w:hAnsi="Times New Roman"/>
              </w:rPr>
              <w:t xml:space="preserve">soʻm tarif narxi; </w:t>
            </w:r>
          </w:p>
          <w:p>
            <w:pPr>
              <w:pStyle w:val="a3"/>
              <w:jc w:val="both"/>
              <w:ind w:firstLine="567"/>
              <w:spacing w:before="60"/>
              <w:rPr>
                <w:sz w:val="24"/>
                <w:rFonts w:ascii="Times New Roman" w:hAnsi="Times New Roman"/>
              </w:rPr>
            </w:pPr>
            <w:r>
              <w:rPr>
                <w:vanish w:val="false"/>
                <w:sz w:val="24"/>
                <w:rFonts w:ascii="Times New Roman" w:hAnsi="Times New Roman"/>
              </w:rPr>
              <w:fldChar w:fldCharType="begin"/>
              <w:instrText xml:space="preserve">X {"Y":34}</w:instrText>
              <w:fldChar w:fldCharType="separate"/>
              <w:t xml:space="preserve">1 m3 oqova suv olib chiqish xizmati uchun maxsus ustama xaq miqdori</w:t>
            </w:r>
            <w:r>
              <w:rPr>
                <w:vanish w:val="false"/>
                <w:sz w:val="24"/>
                <w:rFonts w:ascii="Times New Roman" w:hAnsi="Times New Roman"/>
              </w:rPr>
              <w:fldChar w:fldCharType="end"/>
            </w:r>
            <w:r>
              <w:rPr>
                <w:sz w:val="24"/>
                <w:rFonts w:ascii="Times New Roman" w:hAnsi="Times New Roman"/>
              </w:rPr>
              <w:t xml:space="preserve"> soʻm maxsus ustama xaq.</w:t>
            </w:r>
          </w:p>
          <w:p>
            <w:pPr>
              <w:pStyle w:val="a3"/>
              <w:jc w:val="both"/>
              <w:ind w:firstLine="567"/>
              <w:spacing w:before="60"/>
              <w:rPr>
                <w:sz w:val="24"/>
                <w:rFonts w:ascii="Times New Roman" w:hAnsi="Times New Roman"/>
              </w:rPr>
            </w:pPr>
            <w:r>
              <w:rPr>
                <w:b/>
                <w:sz w:val="24"/>
                <w:rFonts w:ascii="Times New Roman" w:hAnsi="Times New Roman"/>
              </w:rPr>
              <w:t>4.8.</w:t>
            </w:r>
            <w:r>
              <w:rPr>
                <w:sz w:val="24"/>
                <w:rFonts w:ascii="Times New Roman" w:hAnsi="Times New Roman"/>
              </w:rPr>
              <w:tab/>
              <w:t xml:space="preserve">Mazkur shartnoma imzolangandan keyin tarif va maxsus ustama haqlarga kiritilgan oʻzgartirishlar haqida “Isteʼmolchi”ga ommaviy axborot vositalari orqali axborot berilganda, mazkur shartnomaning 4.7. bandida belgilangan narx va maxsus ustama haq midori yangi belgilangan tarif va maxsus ustama haq miqdoriga oʻzgargan hisoblanadi.</w:t>
            </w:r>
          </w:p>
          <w:p>
            <w:pPr>
              <w:pStyle w:val="a3"/>
              <w:jc w:val="both"/>
              <w:ind w:firstLine="567"/>
              <w:spacing w:before="60"/>
              <w:rPr>
                <w:sz w:val="24"/>
                <w:rFonts w:ascii="Times New Roman" w:hAnsi="Times New Roman"/>
              </w:rPr>
            </w:pPr>
            <w:r>
              <w:rPr>
                <w:b/>
                <w:sz w:val="24"/>
                <w:rFonts w:ascii="Times New Roman" w:hAnsi="Times New Roman"/>
              </w:rPr>
              <w:t>4.9.</w:t>
            </w:r>
            <w:r>
              <w:rPr>
                <w:sz w:val="24"/>
                <w:rFonts w:ascii="Times New Roman" w:hAnsi="Times New Roman"/>
              </w:rPr>
              <w:tab/>
              <w:t xml:space="preserve">Koʻrsatilgan xizmatlar uchun toʻlovlar “Isteʼmolchi”ning tanlovi boʻyicha cheklanmagan ravishda, naqd yoki pul oʻtkazish yoʻli bilan yoki zamonaviy toʻlov dasturlari orqali amalga oshirilishi mumkin.</w:t>
            </w:r>
          </w:p>
          <w:p>
            <w:pPr>
              <w:pStyle w:val="a3"/>
              <w:jc w:val="both"/>
              <w:ind w:firstLine="567"/>
              <w:spacing w:before="60"/>
              <w:rPr>
                <w:sz w:val="24"/>
                <w:rFonts w:ascii="Times New Roman" w:hAnsi="Times New Roman"/>
              </w:rPr>
            </w:pPr>
            <w:r>
              <w:rPr>
                <w:b/>
                <w:sz w:val="24"/>
                <w:rFonts w:ascii="Times New Roman" w:hAnsi="Times New Roman"/>
              </w:rPr>
              <w:t>4.10.</w:t>
            </w:r>
            <w:r>
              <w:rPr>
                <w:sz w:val="24"/>
                <w:rFonts w:ascii="Times New Roman" w:hAnsi="Times New Roman"/>
              </w:rPr>
              <w:t xml:space="preserve"> </w:t>
              <w:tab/>
              <w:t xml:space="preserve">“Isteʼmolchi” avans tariqasida ichimlik va oqova suv xizmati (shuningdek, maxsus ustama) uchun 12 oydan koʻp boʻlgan muddatga toʻlovlarni avvaldan amalga oshirib qoʻygan boʻlsalar, ular shu vaqt mobaynida tariflar (shuningdek, maxsus ustama miqdori)ning oʻzgarishi tufayli toʻlanadigan qoʻshimcha toʻlovlardan ozod etiladi.</w:t>
            </w:r>
          </w:p>
          <w:p>
            <w:pPr>
              <w:pStyle w:val="a3"/>
              <w:jc w:val="both"/>
              <w:ind w:firstLine="567"/>
              <w:spacing w:before="60"/>
              <w:rPr>
                <w:b/>
                <w:sz w:val="28"/>
                <w:rFonts w:ascii="Times New Roman" w:hAnsi="Times New Roman"/>
              </w:rPr>
            </w:pPr>
            <w:r>
              <w:rPr>
                <w:b/>
                <w:sz w:val="24"/>
                <w:rFonts w:ascii="Times New Roman" w:hAnsi="Times New Roman"/>
              </w:rPr>
              <w:t>4.11.</w:t>
              <w:tab/>
            </w:r>
            <w:r>
              <w:rPr>
                <w:sz w:val="24"/>
                <w:rFonts w:ascii="Times New Roman" w:hAnsi="Times New Roman"/>
              </w:rPr>
              <w:t xml:space="preserve"> “Isteʼmolchi” aybi bilan hisobga olish pribori ishdan chiqqan, singan, buzilgan va bu haqda “Taʼminotchi” xabardor qilinmagan taqdirda, shuningdek, ichimlik suvi hisoblagichlaridan foydalanishning cheklangan muddati tugashi haqida “Taʼminotchi” tomonidan ogohlantirilgandan keyin 30 kalendar kun ichida qiyoslashdan oʻtkazilmaganda olingan suv miqdori, soʻnggi tuzilgan dalolatnoma sanasidan boshlab holatlar bartaraf etilgunga qadar (yangi suvni hisoblagich oʻrnatish, qiyoslovdan oʻtkazish) mazkur shartnomaning 4.2. bandiga asosan toʻlov hisoblanadi.</w:t>
            </w:r>
          </w:p>
        </w:tc>
      </w:tr>
      <w:tr>
        <w:tc>
          <w:tcPr>
            <w:tcW w:w="9345" w:type="dxa"/>
            <w:gridSpan w:val="2"/>
          </w:tcPr>
          <w:p>
            <w:pPr>
              <w:pStyle w:val="a3"/>
              <w:jc w:val="center"/>
              <w:rPr>
                <w:b/>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V. Alohida shartlar</w:t>
            </w:r>
          </w:p>
          <w:p>
            <w:pPr>
              <w:pStyle w:val="a3"/>
              <w:jc w:val="both"/>
              <w:ind w:firstLine="567"/>
              <w:rPr>
                <w:sz w:val="24"/>
                <w:rFonts w:ascii="Times New Roman" w:hAnsi="Times New Roman"/>
              </w:rPr>
            </w:pPr>
            <w:r>
              <w:rPr>
                <w:b/>
                <w:sz w:val="24"/>
                <w:rFonts w:ascii="Times New Roman" w:hAnsi="Times New Roman"/>
              </w:rPr>
              <w:t>5.1.</w:t>
            </w:r>
            <w:r>
              <w:rPr>
                <w:sz w:val="24"/>
                <w:rFonts w:ascii="Times New Roman" w:hAnsi="Times New Roman"/>
              </w:rPr>
              <w:tab/>
              <w:t xml:space="preserve">Ichimlik suvi hisoblagichlaridan foydalanishning cheklangan muddati tugashi haqida “Taʼminotchi” tomonidan ogohlantirii berilmaganda isteʼmol qilingan ichimlik suvi uchun mazkur sharnomaning 4.2. bandiga asoan toʻlov hisoblash mumkin emas.</w:t>
            </w:r>
          </w:p>
          <w:p>
            <w:pPr>
              <w:pStyle w:val="a3"/>
              <w:jc w:val="both"/>
              <w:ind w:firstLine="567"/>
              <w:spacing w:before="60"/>
              <w:rPr>
                <w:b/>
                <w:sz w:val="28"/>
                <w:rFonts w:ascii="Times New Roman" w:hAnsi="Times New Roman"/>
              </w:rPr>
            </w:pPr>
            <w:r>
              <w:rPr>
                <w:b/>
                <w:sz w:val="24"/>
                <w:rFonts w:ascii="Times New Roman" w:hAnsi="Times New Roman"/>
              </w:rPr>
              <w:t>5.2.</w:t>
            </w:r>
            <w:r>
              <w:rPr>
                <w:sz w:val="24"/>
                <w:rFonts w:ascii="Times New Roman" w:hAnsi="Times New Roman"/>
              </w:rPr>
              <w:tab/>
              <w:t xml:space="preserve">Suvni hisobga olish pribori yoʻq xonadonlarda yoz mavsumlarida nasos bosimi orqali suv mikroiqlim (mikroklimatlar) foydalanish taqiqlanadi.</w:t>
            </w:r>
          </w:p>
        </w:tc>
      </w:tr>
      <w:tr>
        <w:tc>
          <w:tcPr>
            <w:tcW w:w="9345" w:type="dxa"/>
            <w:gridSpan w:val="2"/>
          </w:tcPr>
          <w:p>
            <w:pPr>
              <w:pStyle w:val="a3"/>
              <w:jc w:val="center"/>
              <w:spacing w:before="60"/>
              <w:rPr>
                <w:b/>
                <w:sz w:val="24"/>
                <w:rFonts w:ascii="Times New Roman" w:hAnsi="Times New Roman"/>
              </w:rPr>
            </w:pPr>
          </w:p>
          <w:p>
            <w:pPr>
              <w:pStyle w:val="a3"/>
              <w:jc w:val="center"/>
              <w:spacing w:before="60"/>
              <w:rPr>
                <w:b/>
                <w:sz w:val="24"/>
                <w:rFonts w:ascii="Times New Roman" w:hAnsi="Times New Roman"/>
              </w:rPr>
            </w:pPr>
            <w:r>
              <w:rPr>
                <w:b/>
                <w:sz w:val="24"/>
                <w:rFonts w:ascii="Times New Roman" w:hAnsi="Times New Roman"/>
              </w:rPr>
              <w:t>VI.</w:t>
              <w:tab/>
              <w:t xml:space="preserve">Tomonlarning javobgarligi</w:t>
            </w:r>
          </w:p>
          <w:p>
            <w:pPr>
              <w:pStyle w:val="a3"/>
              <w:jc w:val="both"/>
              <w:ind w:firstLine="567"/>
              <w:spacing w:before="60"/>
              <w:rPr>
                <w:b/>
                <w:sz w:val="28"/>
                <w:rFonts w:ascii="Times New Roman" w:hAnsi="Times New Roman"/>
              </w:rPr>
            </w:pPr>
            <w:r>
              <w:rPr>
                <w:b/>
                <w:sz w:val="24"/>
                <w:rFonts w:ascii="Times New Roman" w:hAnsi="Times New Roman"/>
              </w:rPr>
              <w:t>6.1.</w:t>
            </w:r>
            <w:r>
              <w:rPr>
                <w:sz w:val="24"/>
                <w:rFonts w:ascii="Times New Roman" w:hAnsi="Times New Roman"/>
              </w:rPr>
              <w:tab/>
              <w:t xml:space="preserve">Tomonlar mazkur shartnoma talablarini bajarmaganliklari uchun hamda buning oqibatida tomonlarga yetkazilgan zararni qonunchilikda belgilangan tartibda qoplashga javobgar boʻladilar.</w:t>
            </w:r>
          </w:p>
        </w:tc>
      </w:tr>
      <w:tr>
        <w:tc>
          <w:tcPr>
            <w:tcW w:w="9345" w:type="dxa"/>
            <w:gridSpan w:val="2"/>
          </w:tcPr>
          <w:p>
            <w:pPr>
              <w:pStyle w:val="a3"/>
              <w:jc w:val="center"/>
              <w:spacing w:before="60"/>
              <w:rPr>
                <w:b/>
                <w:sz w:val="24"/>
                <w:rFonts w:ascii="Times New Roman" w:hAnsi="Times New Roman"/>
              </w:rPr>
            </w:pPr>
          </w:p>
          <w:p>
            <w:pPr>
              <w:pStyle w:val="a3"/>
              <w:jc w:val="center"/>
              <w:spacing w:before="60"/>
              <w:rPr>
                <w:b/>
                <w:sz w:val="24"/>
                <w:rFonts w:ascii="Times New Roman" w:hAnsi="Times New Roman"/>
              </w:rPr>
            </w:pPr>
            <w:r>
              <w:rPr>
                <w:b/>
                <w:sz w:val="24"/>
                <w:rFonts w:ascii="Times New Roman" w:hAnsi="Times New Roman"/>
              </w:rPr>
              <w:t xml:space="preserve">VII. Nizolarni hal etish tartibi</w:t>
            </w:r>
          </w:p>
          <w:p>
            <w:pPr>
              <w:pStyle w:val="a3"/>
              <w:jc w:val="both"/>
              <w:ind w:firstLine="567"/>
              <w:spacing w:before="60"/>
              <w:rPr>
                <w:sz w:val="24"/>
                <w:rFonts w:ascii="Times New Roman" w:hAnsi="Times New Roman"/>
              </w:rPr>
            </w:pPr>
            <w:r>
              <w:rPr>
                <w:b/>
                <w:sz w:val="24"/>
                <w:rFonts w:ascii="Times New Roman" w:hAnsi="Times New Roman"/>
              </w:rPr>
              <w:t>7.1.</w:t>
            </w:r>
            <w:r>
              <w:rPr>
                <w:sz w:val="24"/>
                <w:rFonts w:ascii="Times New Roman" w:hAnsi="Times New Roman"/>
              </w:rPr>
              <w:tab/>
              <w:t xml:space="preserve">Taraflar oʻrtasida shartnoma yuzasidan kelib chiqqan nizolar, kelishuv yoʻli bilan hal qilinadi. Agarda ikki tomonlama kelishuvga erishilmasa, nizolar Oʻzbekiston Respublikasi qonunchiligiga muvofiq “Isteʼmolchi” istiqomat qiladigan hududdagi iqtisodiy sudlar orqali hal qilinadi.</w:t>
            </w:r>
          </w:p>
          <w:p>
            <w:pPr>
              <w:pStyle w:val="a3"/>
              <w:jc w:val="both"/>
              <w:ind w:firstLine="567"/>
              <w:spacing w:before="60"/>
              <w:rPr>
                <w:b/>
                <w:sz w:val="28"/>
                <w:rFonts w:ascii="Times New Roman" w:hAnsi="Times New Roman"/>
              </w:rPr>
            </w:pPr>
            <w:r>
              <w:rPr>
                <w:b/>
                <w:sz w:val="24"/>
                <w:rFonts w:ascii="Times New Roman" w:hAnsi="Times New Roman"/>
              </w:rPr>
              <w:t>7.2.</w:t>
            </w:r>
            <w:r>
              <w:rPr>
                <w:sz w:val="24"/>
                <w:rFonts w:ascii="Times New Roman" w:hAnsi="Times New Roman"/>
              </w:rPr>
              <w:tab/>
              <w:t xml:space="preserve">Ushbu shartnomada belgilangan holatlar yuzasidan nizo kelib chiqqan taqdirda, Qonunchilikda belgilangan tartibda hal qilinadi.</w:t>
            </w:r>
          </w:p>
        </w:tc>
      </w:tr>
      <w:tr>
        <w:tc>
          <w:tcPr>
            <w:tcW w:w="9345" w:type="dxa"/>
            <w:gridSpan w:val="2"/>
          </w:tcPr>
          <w:p>
            <w:pPr>
              <w:pStyle w:val="a3"/>
              <w:jc w:val="center"/>
              <w:rPr>
                <w:b/>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VIII. Fors – major</w:t>
            </w:r>
          </w:p>
          <w:p>
            <w:pPr>
              <w:pStyle w:val="a3"/>
              <w:jc w:val="both"/>
              <w:ind w:firstLine="567"/>
              <w:rPr>
                <w:sz w:val="24"/>
                <w:rFonts w:ascii="Times New Roman" w:hAnsi="Times New Roman"/>
              </w:rPr>
            </w:pPr>
            <w:r>
              <w:rPr>
                <w:b/>
                <w:sz w:val="24"/>
                <w:rFonts w:ascii="Times New Roman" w:hAnsi="Times New Roman"/>
              </w:rPr>
              <w:t>8.1.</w:t>
            </w:r>
            <w:r>
              <w:rPr>
                <w:sz w:val="24"/>
                <w:rFonts w:ascii="Times New Roman" w:hAnsi="Times New Roman"/>
              </w:rPr>
              <w:tab/>
              <w:t xml:space="preserve">Agar ushbu shartnoma boʻyicha majburiyatlar qisman yoki toʻliq bajarilmasligi tabiat xodisalari va boshqa yengib boʻlmaydigan kuch (fors major) holatlari (zilzila, suv toshqini, yongʻin, sel, doʻl, jala va boshqa tabiiy ofatlar) natijasida kelib chiqsa va agar bu holatlar muzkur shartnomaning bajarilishiga bevosita taʼsir etsa, tomonlar bunday bajarmaslik uchun javobgarlikdan ozod etiladilar. Mazkur shartnoma boʻyicha majburiyatlarni bajarish muddati yengib boʻlmaydigan kuch holatlari amal qilgan, shuningdek ushbu holatlar yuzaga keltirgan vaqtga mutanosib ravishda uzaytiriladi.</w:t>
            </w:r>
          </w:p>
          <w:p>
            <w:pPr>
              <w:pStyle w:val="a3"/>
              <w:jc w:val="both"/>
              <w:ind w:firstLine="567"/>
              <w:spacing w:before="60"/>
              <w:rPr>
                <w:sz w:val="24"/>
                <w:rFonts w:ascii="Times New Roman" w:hAnsi="Times New Roman"/>
              </w:rPr>
            </w:pPr>
            <w:r>
              <w:rPr>
                <w:b/>
                <w:sz w:val="24"/>
                <w:rFonts w:ascii="Times New Roman" w:hAnsi="Times New Roman"/>
              </w:rPr>
              <w:t>8.2.</w:t>
            </w:r>
            <w:r>
              <w:rPr>
                <w:sz w:val="24"/>
                <w:rFonts w:ascii="Times New Roman" w:hAnsi="Times New Roman"/>
              </w:rPr>
              <w:tab/>
              <w:t xml:space="preserve">Fors-major holati mavjud boʻlgan tomon 3 kun ichida boshqa tomonni fors-major xolati boshlangan muddatlarni koʻrsatgan holda yozma ravishda ogohlantirishi lozim.</w:t>
            </w:r>
          </w:p>
          <w:p>
            <w:pPr>
              <w:pStyle w:val="a3"/>
              <w:jc w:val="both"/>
              <w:ind w:firstLine="567"/>
              <w:spacing w:before="60"/>
              <w:rPr>
                <w:sz w:val="24"/>
                <w:rFonts w:ascii="Times New Roman" w:hAnsi="Times New Roman"/>
              </w:rPr>
            </w:pPr>
            <w:r>
              <w:rPr>
                <w:b/>
                <w:sz w:val="24"/>
                <w:rFonts w:ascii="Times New Roman" w:hAnsi="Times New Roman"/>
              </w:rPr>
              <w:t>8.3.</w:t>
            </w:r>
            <w:r>
              <w:rPr>
                <w:sz w:val="24"/>
                <w:rFonts w:ascii="Times New Roman" w:hAnsi="Times New Roman"/>
              </w:rPr>
              <w:tab/>
              <w:t xml:space="preserve">Agar fors-major holatining shartnoma shartlarini bajarishga uch oydan koʻp muddat toʻsqinlik qilsa, tomonlardan biri shartnomani bekor qilish huquqiga ega.</w:t>
            </w:r>
          </w:p>
          <w:p>
            <w:pPr>
              <w:pStyle w:val="a3"/>
              <w:jc w:val="both"/>
              <w:ind w:firstLine="567"/>
              <w:spacing w:before="60"/>
              <w:rPr>
                <w:b/>
                <w:sz w:val="28"/>
                <w:rFonts w:ascii="Times New Roman" w:hAnsi="Times New Roman"/>
              </w:rPr>
            </w:pPr>
          </w:p>
        </w:tc>
      </w:tr>
      <w:tr>
        <w:tc>
          <w:tcPr>
            <w:tcW w:w="9345" w:type="dxa"/>
            <w:gridSpan w:val="2"/>
          </w:tcPr>
          <w:p>
            <w:pPr>
              <w:pStyle w:val="a3"/>
              <w:jc w:val="center"/>
              <w:rPr>
                <w:b/>
                <w:sz w:val="24"/>
                <w:rFonts w:ascii="Times New Roman" w:hAnsi="Times New Roman"/>
              </w:rPr>
            </w:pPr>
            <w:r>
              <w:rPr>
                <w:b/>
                <w:sz w:val="24"/>
                <w:rFonts w:ascii="Times New Roman" w:hAnsi="Times New Roman"/>
              </w:rPr>
              <w:t xml:space="preserve">IX. Shartnomaning amal qilish muddati</w:t>
            </w:r>
          </w:p>
          <w:p>
            <w:pPr>
              <w:pStyle w:val="a3"/>
              <w:jc w:val="both"/>
              <w:ind w:firstLine="567"/>
              <w:spacing w:before="60"/>
              <w:rPr>
                <w:sz w:val="24"/>
                <w:rFonts w:ascii="Times New Roman" w:hAnsi="Times New Roman"/>
              </w:rPr>
            </w:pPr>
            <w:r>
              <w:rPr>
                <w:b/>
                <w:sz w:val="24"/>
                <w:rFonts w:ascii="Times New Roman" w:hAnsi="Times New Roman"/>
              </w:rPr>
              <w:t>9.1.</w:t>
            </w:r>
            <w:r>
              <w:rPr>
                <w:sz w:val="24"/>
                <w:rFonts w:ascii="Times New Roman" w:hAnsi="Times New Roman"/>
              </w:rPr>
              <w:tab/>
              <w:t xml:space="preserve">Ushbu shartnoma ikki nusxada tuzilgan boʻlib, ikki tarafda bir nusxadan saqlanadi.</w:t>
            </w:r>
          </w:p>
          <w:p>
            <w:pPr>
              <w:pStyle w:val="a3"/>
              <w:jc w:val="both"/>
              <w:ind w:firstLine="567"/>
              <w:spacing w:before="60"/>
              <w:rPr>
                <w:sz w:val="24"/>
                <w:rFonts w:ascii="Times New Roman" w:hAnsi="Times New Roman"/>
              </w:rPr>
            </w:pPr>
            <w:r>
              <w:rPr>
                <w:b/>
                <w:sz w:val="24"/>
                <w:rFonts w:ascii="Times New Roman" w:hAnsi="Times New Roman"/>
              </w:rPr>
              <w:t>9.2.</w:t>
            </w:r>
            <w:r>
              <w:rPr>
                <w:sz w:val="24"/>
                <w:rFonts w:ascii="Times New Roman" w:hAnsi="Times New Roman"/>
              </w:rPr>
              <w:tab/>
              <w:t xml:space="preserve">Shartnoma, imzolangan kundan haqiqiy hisoblanadi.</w:t>
            </w:r>
          </w:p>
          <w:p>
            <w:pPr>
              <w:pStyle w:val="a3"/>
              <w:jc w:val="both"/>
              <w:ind w:firstLine="567"/>
              <w:spacing w:before="60"/>
              <w:rPr>
                <w:b/>
                <w:sz w:val="28"/>
                <w:rFonts w:ascii="Times New Roman" w:hAnsi="Times New Roman"/>
              </w:rPr>
            </w:pPr>
            <w:r>
              <w:rPr>
                <w:b/>
                <w:sz w:val="24"/>
                <w:rFonts w:ascii="Times New Roman" w:hAnsi="Times New Roman"/>
              </w:rPr>
              <w:t>9.3.</w:t>
            </w:r>
            <w:r>
              <w:rPr>
                <w:sz w:val="24"/>
                <w:rFonts w:ascii="Times New Roman" w:hAnsi="Times New Roman"/>
              </w:rPr>
              <w:tab/>
              <w:t xml:space="preserve">Shartnoma 20 yilga tuziladi va ushbu muddat tugishi bilan tomolarda uni davom ettirishga eʼtiroz boʻlmasa amal qilish muddati davom etadi, ushbu holatda shartnomani bekor qilish uchun tomonlar biri ikkinchisini eng kamida 15 kun oldin ogohlantirishi shart.</w:t>
            </w:r>
          </w:p>
        </w:tc>
      </w:tr>
      <w:tr>
        <w:tc>
          <w:tcPr>
            <w:tcW w:w="9345" w:type="dxa"/>
            <w:gridSpan w:val="2"/>
          </w:tcPr>
          <w:p>
            <w:pPr>
              <w:pStyle w:val="a3"/>
              <w:jc w:val="center"/>
              <w:rPr>
                <w:b/>
                <w:sz w:val="28"/>
                <w:rFonts w:ascii="Times New Roman" w:hAnsi="Times New Roman"/>
              </w:rPr>
            </w:pPr>
            <w:r>
              <w:rPr>
                <w:b/>
                <w:sz w:val="24"/>
                <w:rFonts w:ascii="Times New Roman" w:hAnsi="Times New Roman"/>
              </w:rPr>
              <w:t xml:space="preserve">X. Taraflarning rekvizitlari</w:t>
            </w:r>
          </w:p>
        </w:tc>
      </w:tr>
      <w:tr>
        <w:tc>
          <w:tcPr>
            <w:tcW w:w="5724" w:type="dxa"/>
          </w:tcPr>
          <w:p>
            <w:pPr>
              <w:rPr>
                <w:b/>
                <w:i/>
              </w:rPr>
            </w:pPr>
            <w:r>
              <w:rPr>
                <w:vanish w:val="false"/>
              </w:rPr>
              <w:fldChar w:fldCharType="begin"/>
              <w:instrText xml:space="preserve">X {"Y":6}</w:instrText>
              <w:fldChar w:fldCharType="separate"/>
              <w:t xml:space="preserve">“Taʼminotchi” tarafning nomi</w:t>
            </w:r>
            <w:r>
              <w:rPr>
                <w:vanish w:val="false"/>
              </w:rPr>
              <w:fldChar w:fldCharType="end"/>
            </w:r>
          </w:p>
        </w:tc>
        <w:tc>
          <w:tcPr>
            <w:tcW w:w="3621" w:type="dxa"/>
          </w:tcPr>
          <w:p>
            <w:pPr>
              <w:rPr>
                <w:b/>
                <w:sz w:val="26"/>
              </w:rPr>
            </w:pPr>
            <w:r>
              <w:t xml:space="preserve">Manzil: </w:t>
            </w:r>
            <w:r>
              <w:fldChar w:fldCharType="begin"/>
              <w:instrText xml:space="preserve">X {"Y":15}</w:instrText>
              <w:fldChar w:fldCharType="separate"/>
              <w:t xml:space="preserve">Isteʼmolchining manzili</w:t>
            </w:r>
            <w:r>
              <w:fldChar w:fldCharType="end"/>
            </w:r>
          </w:p>
        </w:tc>
      </w:tr>
      <w:tr>
        <w:tc>
          <w:tcPr>
            <w:tcW w:w="5724" w:type="dxa"/>
          </w:tcPr>
          <w:p>
            <w:r>
              <w:t xml:space="preserve">Manzil: </w:t>
            </w:r>
            <w:r>
              <w:fldChar w:fldCharType="begin"/>
              <w:instrText xml:space="preserve">X {"Y":8}</w:instrText>
              <w:fldChar w:fldCharType="separate"/>
              <w:t xml:space="preserve">“Taʼminotchi” tarafning manzili</w:t>
            </w:r>
            <w:r>
              <w:fldChar w:fldCharType="end"/>
            </w:r>
          </w:p>
        </w:tc>
        <w:tc>
          <w:tcPr>
            <w:tcW w:w="3621" w:type="dxa"/>
          </w:tcPr>
          <w:p>
            <w:pPr>
              <w:rPr>
                <w:b/>
                <w:sz w:val="26"/>
              </w:rPr>
            </w:pPr>
            <w:r>
              <w:t xml:space="preserve">Pasport raqami </w:t>
            </w:r>
            <w:r>
              <w:fldChar w:fldCharType="begin"/>
              <w:instrText xml:space="preserve">X {"Y":17}</w:instrText>
              <w:fldChar w:fldCharType="separate"/>
              <w:t xml:space="preserve">Isteʼmolchining pasport seriyasi va raqami</w:t>
            </w:r>
            <w:r>
              <w:fldChar w:fldCharType="end"/>
            </w:r>
          </w:p>
        </w:tc>
      </w:tr>
      <w:tr>
        <w:tc>
          <w:tcPr>
            <w:tcW w:w="5724" w:type="dxa"/>
          </w:tcPr>
          <w:p>
            <w:pPr>
              <w:rPr>
                <w:b/>
                <w:i/>
              </w:rPr>
            </w:pPr>
            <w:r>
              <w:t xml:space="preserve">Bank: </w:t>
            </w:r>
            <w:r>
              <w:fldChar w:fldCharType="begin"/>
              <w:instrText xml:space="preserve">X {"Y":9}</w:instrText>
              <w:fldChar w:fldCharType="separate"/>
              <w:t xml:space="preserve">“Taʼminotchi” tarafning hisob raqami joylashgan bank nomi</w:t>
            </w:r>
            <w:r>
              <w:fldChar w:fldCharType="end"/>
            </w:r>
          </w:p>
        </w:tc>
        <w:tc>
          <w:tcPr>
            <w:tcW w:w="3621" w:type="dxa"/>
          </w:tcPr>
          <w:p>
            <w:pPr>
              <w:rPr>
                <w:b/>
                <w:sz w:val="26"/>
              </w:rPr>
            </w:pPr>
            <w:r>
              <w:t xml:space="preserve">Tugʻilgan sanasi </w:t>
            </w:r>
            <w:r>
              <w:fldChar w:fldCharType="begin"/>
              <w:instrText xml:space="preserve">X {"Y":16}</w:instrText>
              <w:fldChar w:fldCharType="separate"/>
              <w:t xml:space="preserve">Isteʼmolchining tug‘ilgan sanasi</w:t>
            </w:r>
            <w:r>
              <w:fldChar w:fldCharType="end"/>
            </w:r>
          </w:p>
        </w:tc>
      </w:tr>
      <w:tr>
        <w:tc>
          <w:tcPr>
            <w:tcW w:w="5724" w:type="dxa"/>
          </w:tcPr>
          <w:p>
            <w:pPr>
              <w:pStyle w:val="ac"/>
              <w:ind w:left="0"/>
              <w:spacing w:line="288" w:lineRule="auto"/>
              <w:rPr>
                <w:b w:val="false"/>
                <w:sz w:val="24"/>
                <w:rFonts w:ascii="Times New Roman" w:hAnsi="Times New Roman"/>
              </w:rPr>
            </w:pPr>
            <w:r>
              <w:rPr>
                <w:b w:val="false"/>
                <w:sz w:val="24"/>
              </w:rPr>
              <w:t xml:space="preserve">H/R: </w:t>
            </w:r>
            <w:r>
              <w:rPr>
                <w:b w:val="false"/>
                <w:sz w:val="24"/>
              </w:rPr>
              <w:fldChar w:fldCharType="begin"/>
              <w:instrText xml:space="preserve">X {"Y":10}</w:instrText>
              <w:fldChar w:fldCharType="separate"/>
              <w:t xml:space="preserve">“Taʼminotchi” tarafning hisob raqami</w:t>
            </w:r>
            <w:r>
              <w:rPr>
                <w:b w:val="false"/>
                <w:sz w:val="24"/>
              </w:rPr>
              <w:fldChar w:fldCharType="end"/>
            </w:r>
          </w:p>
        </w:tc>
        <w:tc>
          <w:tcPr>
            <w:tcW w:w="3621" w:type="dxa"/>
          </w:tcPr>
          <w:p>
            <w:pPr>
              <w:rPr>
                <w:b/>
                <w:sz w:val="26"/>
              </w:rPr>
            </w:pPr>
            <w:r>
              <w:t xml:space="preserve">Pasport qachon va kim tomonidan berilgan </w:t>
            </w:r>
            <w:r>
              <w:fldChar w:fldCharType="begin"/>
              <w:instrText xml:space="preserve">X {"Y":18}</w:instrText>
              <w:fldChar w:fldCharType="separate"/>
              <w:t xml:space="preserve">Isteʼmolchiga pasport qachon va kim tomonidan berilgan</w:t>
            </w:r>
            <w:r>
              <w:fldChar w:fldCharType="end"/>
            </w:r>
          </w:p>
        </w:tc>
      </w:tr>
      <w:tr>
        <w:tc>
          <w:tcPr>
            <w:tcW w:w="5724" w:type="dxa"/>
          </w:tcPr>
          <w:p>
            <w:pPr>
              <w:rPr>
                <w:b/>
                <w:i/>
              </w:rPr>
            </w:pPr>
            <w:r>
              <w:t xml:space="preserve">STIR: </w:t>
            </w:r>
            <w:r>
              <w:fldChar w:fldCharType="begin"/>
              <w:instrText xml:space="preserve">X {"Y":11}</w:instrText>
              <w:fldChar w:fldCharType="separate"/>
              <w:t xml:space="preserve">“Taʼminotchi” tarafning STIR raqami</w:t>
            </w:r>
            <w:r>
              <w:fldChar w:fldCharType="end"/>
            </w:r>
          </w:p>
        </w:tc>
        <w:tc>
          <w:tcPr>
            <w:tcW w:w="3621" w:type="dxa"/>
          </w:tcPr>
          <w:p>
            <w:pPr>
              <w:rPr>
                <w:b/>
                <w:i/>
              </w:rPr>
            </w:pPr>
            <w:r>
              <w:t xml:space="preserve">Telefon: </w:t>
            </w:r>
            <w:r>
              <w:fldChar w:fldCharType="begin"/>
              <w:instrText xml:space="preserve">X {"Y":19}</w:instrText>
              <w:fldChar w:fldCharType="separate"/>
              <w:t xml:space="preserve">Isteʼmolchining telefon raqami</w:t>
            </w:r>
            <w:r>
              <w:fldChar w:fldCharType="end"/>
            </w:r>
          </w:p>
        </w:tc>
      </w:tr>
      <w:tr>
        <w:tc>
          <w:tcPr>
            <w:tcW w:w="3621" w:type="dxa"/>
          </w:tcPr>
          <w:p>
            <w:pPr>
              <w:rPr>
                <w:b/>
                <w:i/>
              </w:rPr>
            </w:pPr>
            <w:r>
              <w:t xml:space="preserve">Telefon: </w:t>
            </w:r>
            <w:r>
              <w:fldChar w:fldCharType="begin"/>
              <w:instrText xml:space="preserve">X {"Y":12}</w:instrText>
              <w:fldChar w:fldCharType="separate"/>
              <w:t xml:space="preserve">“Taʼminotchi” tarafning telefon raqami</w:t>
            </w:r>
            <w:r>
              <w:fldChar w:fldCharType="end"/>
            </w:r>
            <w:r>
              <w:t xml:space="preserve"> </w:t>
            </w:r>
            <w:r>
              <w:rPr>
                <w:vanish w:val="false"/>
              </w:rPr>
              <w:fldChar w:fldCharType="begin"/>
              <w:instrText xml:space="preserve">X {"Y":14}</w:instrText>
              <w:fldChar w:fldCharType="separate"/>
              <w:t xml:space="preserve"> Isteʼmolchining F.I.Osi</w:t>
            </w:r>
            <w:r>
              <w:rPr>
                <w:vanish w:val="false"/>
              </w:rPr>
              <w:fldChar w:fldCharType="end"/>
            </w:r>
          </w:p>
        </w:tc>
      </w:tr>
      <w:tr>
        <w:tc>
          <w:tcPr>
            <w:tcW w:w="5724" w:type="dxa"/>
          </w:tcPr>
          <w:p>
            <w:r>
              <w:rPr>
                <w:vanish w:val="false"/>
              </w:rPr>
              <w:fldChar w:fldCharType="begin"/>
              <w:instrText xml:space="preserve">X {"Y":7}</w:instrText>
              <w:fldChar w:fldCharType="separate"/>
              <w:t xml:space="preserve">“Taʼminotchi” taraf nomidan ish olib boruvchi shaxsning lavozimi va F.I.O.si</w:t>
            </w:r>
            <w:r>
              <w:rPr>
                <w:vanish w:val="false"/>
              </w:rPr>
              <w:fldChar w:fldCharType="end"/>
            </w:r>
          </w:p>
        </w:tc>
        <w:tc>
          <w:tcPr>
            <w:tcW w:w="3621" w:type="dxa"/>
          </w:tcPr>
          <w:p>
            <w:pPr>
              <w:rPr>
                <w:b/>
                <w:sz w:val="26"/>
              </w:rPr>
            </w:pPr>
          </w:p>
        </w:tc>
      </w:tr>
      <w:tr>
        <w:tc>
          <w:tcPr>
            <w:tcW w:w="5724" w:type="dxa"/>
          </w:tcPr>
          <w:p>
            <w:pPr>
              <w:jc w:val="center"/>
              <w:rPr>
                <w:b/>
              </w:rPr>
            </w:pPr>
            <w:r>
              <w:t>_________________</w:t>
            </w:r>
          </w:p>
          <w:p>
            <w:pPr>
              <w:jc w:val="center"/>
              <w:rPr>
                <w:b/>
              </w:rPr>
            </w:pPr>
            <w:r>
              <w:t>imzo</w:t>
            </w:r>
          </w:p>
        </w:tc>
        <w:tc>
          <w:tcPr>
            <w:tcW w:w="3621" w:type="dxa"/>
          </w:tcPr>
          <w:p>
            <w:pPr>
              <w:jc w:val="center"/>
              <w:rPr>
                <w:b/>
              </w:rPr>
            </w:pPr>
            <w:r>
              <w:t>_________________</w:t>
            </w:r>
          </w:p>
          <w:p>
            <w:pPr>
              <w:jc w:val="center"/>
              <w:rPr>
                <w:b/>
              </w:rPr>
            </w:pPr>
            <w:r>
              <w:t>imzo</w:t>
            </w:r>
          </w:p>
        </w:tc>
      </w:tr>
      <w:tr>
        <w:tc>
          <w:tcPr>
            <w:tcW w:w="5724" w:type="dxa"/>
          </w:tcPr>
          <w:p>
            <w:pPr>
              <w:jc w:val="center"/>
            </w:pPr>
          </w:p>
        </w:tc>
        <w:tc>
          <w:tcPr>
            <w:tcW w:w="3621" w:type="dxa"/>
          </w:tcPr>
          <w:p>
            <w:pPr>
              <w:jc w:val="center"/>
            </w:pPr>
          </w:p>
        </w:tc>
      </w:tr>
      <w:tr>
        <w:tc>
          <w:tcPr>
            <w:tcW w:w="5724" w:type="dxa"/>
          </w:tcPr>
          <w:p>
            <w:pPr>
              <w:ind w:left="2268" w:hanging="2268"/>
              <w:rPr>
                <w:i/>
                <w:sz w:val="28"/>
              </w:rPr>
            </w:pPr>
            <w:r>
              <w:rPr>
                <w:b/>
              </w:rPr>
              <w:t xml:space="preserve">Yuriskonsult: </w:t>
            </w:r>
            <w:r>
              <w:t>___________________________</w:t>
            </w:r>
            <w:r>
              <w:rPr>
                <w:sz w:val="26"/>
              </w:rPr>
              <w:t xml:space="preserve"> </w:t>
              <w:br/>
            </w:r>
            <w:r>
              <w:rPr>
                <w:i/>
                <w:sz w:val="26"/>
              </w:rPr>
              <w:t>(imzo)</w:t>
            </w:r>
            <w:r>
              <w:rPr>
                <w:sz w:val="26"/>
              </w:rPr>
              <w:t xml:space="preserve">         (F.I.O)</w:t>
            </w:r>
          </w:p>
          <w:p>
            <w:pPr>
              <w:jc w:val="center"/>
              <w:rPr>
                <w:b/>
              </w:rPr>
            </w:pPr>
          </w:p>
        </w:tc>
        <w:tc>
          <w:tcPr>
            <w:tcW w:w="3621" w:type="dxa"/>
          </w:tcPr>
          <w:p>
            <w:pPr>
              <w:pStyle w:val="a3"/>
              <w:jc w:val="center"/>
              <w:rPr>
                <w:b/>
                <w:sz w:val="28"/>
                <w:rFonts w:ascii="Times New Roman" w:hAnsi="Times New Roman"/>
              </w:rPr>
            </w:pPr>
          </w:p>
        </w:tc>
      </w:tr>
    </w:tbl>
    <w:p>
      <w:pPr>
        <w:pStyle w:val="a3"/>
        <w:jc w:val="center"/>
        <w:rPr>
          <w:b/>
          <w:sz w:val="28"/>
          <w:rFonts w:ascii="Times New Roman" w:hAnsi="Times New Roman"/>
        </w:rPr>
      </w:pPr>
    </w:p>
    <w:p>
      <w:pPr>
        <w:pStyle w:val="a3"/>
        <w:jc w:val="center"/>
        <w:rPr>
          <w:b/>
          <w:sz w:val="28"/>
          <w:rFonts w:ascii="Times New Roman" w:hAnsi="Times New Roman"/>
        </w:rPr>
      </w:pPr>
    </w:p>
    <w:p>
      <w:pPr>
        <w:jc w:val="center"/>
        <w:rPr>
          <w:b/>
          <w:sz w:val="26"/>
        </w:rPr>
      </w:pPr>
      <w:r>
        <w:rPr>
          <w:b/>
          <w:sz w:val="26"/>
        </w:rPr>
      </w:r>
    </w:p>
    <w:p>
      <w:pPr>
        <w:pStyle w:val="a3"/>
        <w:jc w:val="center"/>
        <w:rPr>
          <w:b/>
          <w:sz w:val="28"/>
          <w:rFonts w:ascii="Times New Roman" w:hAnsi="Times New Roman"/>
        </w:rPr>
      </w:pPr>
    </w:p>
    <w:p>
      <w:pPr>
        <w:pStyle w:val="a3"/>
        <w:jc w:val="center"/>
        <w:rPr>
          <w:b/>
          <w:sz w:val="28"/>
          <w:rFonts w:ascii="Times New Roman" w:hAnsi="Times New Roman"/>
        </w:rPr>
      </w:pPr>
    </w:p>
    <w:p>
      <w:pPr>
        <w:pStyle w:val="a3"/>
        <w:jc w:val="center"/>
        <w:rPr>
          <w:b/>
          <w:sz w:val="28"/>
          <w:rFonts w:ascii="Times New Roman" w:hAnsi="Times New Roman"/>
        </w:rPr>
      </w:pPr>
    </w:p>
    <w:p>
      <w:pPr>
        <w:pStyle w:val="a3"/>
        <w:jc w:val="center"/>
        <w:rPr>
          <w:b/>
          <w:sz w:val="28"/>
          <w:rFonts w:ascii="Times New Roman" w:hAnsi="Times New Roman"/>
        </w:rPr>
      </w:pPr>
    </w:p>
    <w:sectPr>
      <w:pgSz w:w="11906" w:h="16838"/>
      <w:pgMar w:left="1701" w:right="850" w:top="705"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F7119"/>
    <w:multiLevelType w:val="hybridMultilevel"/>
    <w:tmpl w:val="A35697C2"/>
    <w:lvl w:ilvl="0" w:tplc="6854FD90">
      <w:start w:val="1"/>
      <w:numFmt w:val="decimal"/>
      <w:lvlText w:val="%1."/>
      <w:lvlJc w:val="left"/>
      <w:pPr>
        <w:ind w:left="1068" w:hanging="360"/>
      </w:pPr>
      <w:rPr>
        <w:rFonts w:hint="default"/>
        <w:b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28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DCF"/>
    <w:rsid w:val="0002054B"/>
    <w:rsid w:val="00037484"/>
    <w:rsid w:val="00043F3A"/>
    <w:rsid w:val="001D25F6"/>
    <w:rsid w:val="001E1B79"/>
    <w:rsid w:val="00337265"/>
    <w:rsid w:val="00363D84"/>
    <w:rsid w:val="00383589"/>
    <w:rsid w:val="003C13A6"/>
    <w:rsid w:val="003E67EF"/>
    <w:rsid w:val="00442DE0"/>
    <w:rsid w:val="0044515F"/>
    <w:rsid w:val="004C7DB4"/>
    <w:rsid w:val="004D7D2E"/>
    <w:rsid w:val="005003D6"/>
    <w:rsid w:val="00533C5A"/>
    <w:rsid w:val="00540B65"/>
    <w:rsid w:val="00555108"/>
    <w:rsid w:val="005A5CEE"/>
    <w:rsid w:val="006B1917"/>
    <w:rsid w:val="007547EE"/>
    <w:rsid w:val="00757A96"/>
    <w:rsid w:val="00771595"/>
    <w:rsid w:val="00781B21"/>
    <w:rsid w:val="007D3356"/>
    <w:rsid w:val="007E7DCF"/>
    <w:rsid w:val="007F6504"/>
    <w:rsid w:val="00801A63"/>
    <w:rsid w:val="008E0EB3"/>
    <w:rsid w:val="008E23CA"/>
    <w:rsid w:val="009D1A9C"/>
    <w:rsid w:val="00A45DAE"/>
    <w:rsid w:val="00B870C4"/>
    <w:rsid w:val="00BA4AB8"/>
    <w:rsid w:val="00BE0C4C"/>
    <w:rsid w:val="00C41134"/>
    <w:rsid w:val="00CA2996"/>
    <w:rsid w:val="00CF4011"/>
    <w:rsid w:val="00D02364"/>
    <w:rsid w:val="00D41601"/>
    <w:rsid w:val="00DC055D"/>
    <w:rsid w:val="00DD4362"/>
    <w:rsid w:val="00E564CF"/>
    <w:rsid w:val="00E72D34"/>
    <w:rsid w:val="00F168D3"/>
    <w:rsid w:val="00F55CAD"/>
    <w:rsid w:val="00FD5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64F42"/>
  <w15:chartTrackingRefBased/>
  <w15:docId w15:val="{9446B4A9-B1AF-4522-89B5-8E39E6039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5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A5CEE"/>
    <w:pPr>
      <w:spacing w:after="0" w:line="240" w:lineRule="auto"/>
    </w:pPr>
  </w:style>
  <w:style w:type="character" w:styleId="a4">
    <w:name w:val="annotation reference"/>
    <w:basedOn w:val="a0"/>
    <w:uiPriority w:val="99"/>
    <w:semiHidden/>
    <w:unhideWhenUsed/>
    <w:rsid w:val="00E72D34"/>
    <w:rPr>
      <w:sz w:val="16"/>
      <w:szCs w:val="16"/>
    </w:rPr>
  </w:style>
  <w:style w:type="paragraph" w:styleId="a5">
    <w:name w:val="annotation text"/>
    <w:basedOn w:val="a"/>
    <w:link w:val="a6"/>
    <w:uiPriority w:val="99"/>
    <w:semiHidden/>
    <w:unhideWhenUsed/>
    <w:rsid w:val="00E72D34"/>
    <w:rPr>
      <w:sz w:val="20"/>
      <w:szCs w:val="20"/>
    </w:rPr>
  </w:style>
  <w:style w:type="character" w:customStyle="1" w:styleId="a6">
    <w:name w:val="Текст примечания Знак"/>
    <w:basedOn w:val="a0"/>
    <w:link w:val="a5"/>
    <w:uiPriority w:val="99"/>
    <w:semiHidden/>
    <w:rsid w:val="00E72D34"/>
    <w:rPr>
      <w:sz w:val="20"/>
      <w:szCs w:val="20"/>
    </w:rPr>
  </w:style>
  <w:style w:type="paragraph" w:styleId="a7">
    <w:name w:val="annotation subject"/>
    <w:basedOn w:val="a5"/>
    <w:next w:val="a5"/>
    <w:link w:val="a8"/>
    <w:uiPriority w:val="99"/>
    <w:semiHidden/>
    <w:unhideWhenUsed/>
    <w:rsid w:val="00E72D34"/>
    <w:rPr>
      <w:b/>
      <w:bCs/>
    </w:rPr>
  </w:style>
  <w:style w:type="character" w:customStyle="1" w:styleId="a8">
    <w:name w:val="Тема примечания Знак"/>
    <w:basedOn w:val="a6"/>
    <w:link w:val="a7"/>
    <w:uiPriority w:val="99"/>
    <w:semiHidden/>
    <w:rsid w:val="00E72D34"/>
    <w:rPr>
      <w:b/>
      <w:bCs/>
      <w:sz w:val="20"/>
      <w:szCs w:val="20"/>
    </w:rPr>
  </w:style>
  <w:style w:type="paragraph" w:styleId="a9">
    <w:name w:val="Balloon Text"/>
    <w:basedOn w:val="a"/>
    <w:link w:val="aa"/>
    <w:uiPriority w:val="99"/>
    <w:semiHidden/>
    <w:unhideWhenUsed/>
    <w:rsid w:val="00E72D34"/>
    <w:rPr>
      <w:rFonts w:ascii="Segoe UI" w:hAnsi="Segoe UI" w:cs="Segoe UI"/>
      <w:sz w:val="18"/>
      <w:szCs w:val="18"/>
    </w:rPr>
  </w:style>
  <w:style w:type="character" w:customStyle="1" w:styleId="aa">
    <w:name w:val="Текст выноски Знак"/>
    <w:basedOn w:val="a0"/>
    <w:link w:val="a9"/>
    <w:uiPriority w:val="99"/>
    <w:semiHidden/>
    <w:rsid w:val="00E72D34"/>
    <w:rPr>
      <w:rFonts w:ascii="Segoe UI" w:hAnsi="Segoe UI" w:cs="Segoe UI"/>
      <w:sz w:val="18"/>
      <w:szCs w:val="18"/>
    </w:rPr>
  </w:style>
  <w:style w:type="table" w:styleId="ab">
    <w:name w:val="Table Grid"/>
    <w:basedOn w:val="a1"/>
    <w:uiPriority w:val="39"/>
    <w:rsid w:val="009D1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2054B"/>
    <w:pPr>
      <w:ind w:left="720"/>
      <w:contextualSpacing/>
    </w:pPr>
    <w:rPr>
      <w:b/>
      <w:sz w:val="28"/>
      <w:szCs w:val="20"/>
    </w:rPr>
  </w:style>
  <w:style w:type="paragraph" w:styleId="ad">
    <w:name w:val="Plain Text"/>
    <w:basedOn w:val="a"/>
    <w:link w:val="ae"/>
    <w:rsid w:val="0002054B"/>
    <w:rPr>
      <w:rFonts w:ascii="Courier New" w:hAnsi="Courier New"/>
      <w:b/>
      <w:sz w:val="20"/>
      <w:szCs w:val="20"/>
    </w:rPr>
  </w:style>
  <w:style w:type="character" w:customStyle="1" w:styleId="ae">
    <w:name w:val="Текст Знак"/>
    <w:basedOn w:val="a0"/>
    <w:link w:val="ad"/>
    <w:rsid w:val="0002054B"/>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7</Pages>
  <Words>2587</Words>
  <Characters>14750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13</cp:revision>
  <dcterms:created xsi:type="dcterms:W3CDTF">2021-09-24T11:42:00Z</dcterms:created>
  <dcterms:modified xsi:type="dcterms:W3CDTF">2021-11-26T14:18:00Z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“Taʼminotchi” bo‘yicha maʼlumotlar</w:name>
    <w:value w:hidden="true">
      <w:unit w:active="false"/>
    </w:value>
  </w:element>
  <w:element w:id="6" w:kind="variable" w:selector="check" w:type="string" w:valueMode="normal" w:required="false" w:groupID="5">
    <w:identifier xml:space="preserve">ID6</w:identifier>
    <w:name xml:space="preserve">“Taʼminotchi” tarafning nomi</w:name>
    <w:value w:hidden="false">
      <w:unit w:active="false"/>
    </w:value>
  </w:element>
  <w:element w:id="7" w:kind="variable" w:selector="check" w:type="string" w:valueMode="normal" w:required="false" w:groupID="5">
    <w:identifier xml:space="preserve">ID7</w:identifier>
    <w:name xml:space="preserve">“Taʼminotchi” taraf nomidan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5">
    <w:identifier xml:space="preserve">ID8</w:identifier>
    <w:name xml:space="preserve">“Taʼminotchi” tarafning manzili</w:name>
    <w:value w:hidden="false">
      <w:unit w:active="false"/>
    </w:value>
  </w:element>
  <w:element w:id="9" w:kind="variable" w:selector="check" w:type="string" w:valueMode="normal" w:required="false" w:groupID="5">
    <w:identifier xml:space="preserve">ID9</w:identifier>
    <w:name xml:space="preserve">“Taʼminotchi” tarafning hisob raqami joylashgan bank nomi</w:name>
    <w:value w:hidden="false">
      <w:unit w:active="false"/>
    </w:value>
  </w:element>
  <w:element w:id="10" w:kind="variable" w:selector="check" w:type="string" w:valueMode="normal" w:required="false" w:groupID="5">
    <w:identifier xml:space="preserve">ID10</w:identifier>
    <w:name xml:space="preserve">“Taʼminotchi” tarafning hisob raqami</w:name>
    <w:value w:hidden="false">
      <w:unit w:active="false"/>
    </w:value>
  </w:element>
  <w:element w:id="11" w:kind="variable" w:selector="check" w:type="string" w:valueMode="normal" w:required="false" w:groupID="5">
    <w:identifier xml:space="preserve">ID11</w:identifier>
    <w:name xml:space="preserve">“Taʼminotchi” tarafning STIR raqami</w:name>
    <w:value w:hidden="false">
      <w:unit w:active="false"/>
    </w:value>
  </w:element>
  <w:element w:id="12" w:kind="variable" w:selector="check" w:type="string" w:valueMode="normal" w:required="false" w:groupID="5">
    <w:identifier xml:space="preserve">ID12</w:identifier>
    <w:name xml:space="preserve">“Taʼminotchi” tarafning telefon raqami</w:name>
    <w:value w:hidden="false">
      <w:unit w:active="false"/>
    </w:value>
  </w:element>
  <w:element w:id="13" w:kind="category" w:selector="check" w:type="string" w:valueMode="normal" w:required="false">
    <w:identifier xml:space="preserve">ID13</w:identifier>
    <w:name xml:space="preserve">“Isteʼmolchi” bo‘yicha maʼlumotlar</w:name>
    <w:value w:hidden="true">
      <w:unit w:active="false"/>
    </w:value>
  </w:element>
  <w:element w:id="14" w:kind="variable" w:selector="check" w:type="string" w:valueMode="normal" w:required="false" w:groupID="13">
    <w:identifier xml:space="preserve">ID14</w:identifier>
    <w:name xml:space="preserve">Isteʼmolchining F.I.Osi</w:name>
    <w:value w:hidden="false">
      <w:unit w:active="false"/>
    </w:value>
  </w:element>
  <w:element w:id="15" w:kind="variable" w:selector="check" w:type="string" w:valueMode="normal" w:required="false" w:groupID="13">
    <w:identifier xml:space="preserve">ID15</w:identifier>
    <w:name xml:space="preserve">Isteʼmolchining manzili</w:name>
    <w:comment xml:space="preserve">Izoh: Viloyat, tuman (shahar), mahalla, ko‘cha nomi va uy raqami yoziladi</w:comment>
    <w:value w:hidden="false">
      <w:unit w:active="false"/>
    </w:value>
  </w:element>
  <w:element w:id="16" w:kind="variable" w:selector="check" w:type="string" w:valueMode="normal" w:required="false" w:groupID="13">
    <w:identifier xml:space="preserve">ID16</w:identifier>
    <w:name xml:space="preserve">Isteʼmolchining tug‘ilgan sanasi</w:name>
    <w:value w:hidden="false">
      <w:unit w:active="false"/>
    </w:value>
  </w:element>
  <w:element w:id="17" w:kind="variable" w:selector="check" w:type="string" w:valueMode="normal" w:required="false" w:groupID="13">
    <w:identifier xml:space="preserve">ID17</w:identifier>
    <w:name xml:space="preserve">Isteʼmolchining pasport seriyasi va raqami</w:name>
    <w:value w:hidden="false">
      <w:unit w:active="false"/>
    </w:value>
  </w:element>
  <w:element w:id="18" w:kind="variable" w:selector="check" w:type="string" w:valueMode="normal" w:required="false" w:groupID="13">
    <w:identifier xml:space="preserve">ID18</w:identifier>
    <w:name xml:space="preserve">Isteʼmolchiga pasport qachon va kim tomonidan berilgan</w:name>
    <w:value w:hidden="false">
      <w:unit w:active="false"/>
    </w:value>
  </w:element>
  <w:element w:id="19" w:kind="variable" w:selector="check" w:type="string" w:valueMode="normal" w:required="false" w:groupID="13">
    <w:identifier xml:space="preserve">ID19</w:identifier>
    <w:name xml:space="preserve">Isteʼmolchining telefon raqami</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“Isteʼmolchi”ning suv hisoblagich (lar) to‘g‘risidagi maʼlumot</w:name>
    <w:value w:hidden="false">
      <w:unit w:active="false"/>
    </w:value>
  </w:element>
  <w:element w:id="22" w:kind="variable" w:selector="check" w:type="string" w:valueMode="normal" w:required="false" w:groupID="20">
    <w:identifier xml:space="preserve">ID22</w:identifier>
    <w:name xml:space="preserve">“Isteʼmolchi”ning suv olish joylari soni (ta)</w:name>
    <w:value w:hidden="false">
      <w:unit w:active="false"/>
    </w:value>
  </w:element>
  <w:element w:id="23" w:kind="variable" w:selector="check" w:type="string" w:valueMode="normal" w:required="false" w:groupID="20">
    <w:identifier xml:space="preserve">ID23</w:identifier>
    <w:name xml:space="preserve">“Isteʼmolchi”ning xonalar soni (ko‘p kvartilik uylar uchun) (ta)</w:name>
    <w:value w:hidden="false">
      <w:unit w:active="false"/>
    </w:value>
  </w:element>
  <w:element w:id="24" w:kind="variable" w:selector="check" w:type="string" w:valueMode="normal" w:required="false" w:groupID="20">
    <w:identifier xml:space="preserve">ID24</w:identifier>
    <w:name xml:space="preserve">“Isteʼmolchi”ning ko‘rsatilgan xizmatlar uchun to‘lovlarni amalga oshirish uchun shaxsiy hisob raqami</w:name>
    <w:value w:hidden="false">
      <w:unit w:active="false"/>
    </w:value>
  </w:element>
  <w:element w:id="25" w:kind="variable" w:selector="check" w:type="string" w:valueMode="normal" w:required="false" w:groupID="20">
    <w:identifier xml:space="preserve">ID25</w:identifier>
    <w:name xml:space="preserve">“Isteʼmolchi”ning to‘lovlar bo‘yicha hisoblarni qabul qilish uchun qo‘shimcha manzillari (shaxsiy kabinet, messenjer va boshqalar)</w:name>
    <w:value w:hidden="false">
      <w:unit w:active="false"/>
    </w:value>
  </w:element>
  <w:element w:id="26" w:kind="variable" w:selector="check" w:type="string" w:valueMode="normal" w:required="false" w:groupID="20">
    <w:identifier xml:space="preserve">ID26</w:identifier>
    <w:name xml:space="preserve">Isteʼmolchi”ning xizmatlarni qabul qilish joyi (quvurlarning xizmat ko‘rsatish chegarasi) ichimlik suv taʼminoti uchun</w:name>
    <w:value w:hidden="false">
      <w:unit w:active="false"/>
    </w:value>
  </w:element>
  <w:element w:id="27" w:kind="variable" w:selector="check" w:type="string" w:valueMode="normal" w:required="false" w:groupID="20">
    <w:identifier xml:space="preserve">ID27</w:identifier>
    <w:name xml:space="preserve">Isteʼmolchi”ning xizmatlarni qabul qilish joyi (quvurlarning xizmat ko‘rsatish chegarasi) oqova suv quvurining taʼminoti uchun</w:name>
    <w:value w:hidden="false">
      <w:unit w:active="false"/>
    </w:value>
  </w:element>
  <w:element w:id="28" w:kind="variable" w:selector="check" w:type="string" w:valueMode="normal" w:required="false" w:groupID="20">
    <w:identifier xml:space="preserve">ID28</w:identifier>
    <w:name xml:space="preserve">“Taʼminotchi”ning to‘lovlar bo‘yicha hisoblarni maʼlum qilish uchun ijtimoyi tarmoqlardagi sahifa va dasturlari</w:name>
    <w:value w:hidden="false">
      <w:unit w:active="false"/>
    </w:value>
  </w:element>
  <w:element w:id="29" w:kind="variable" w:selector="check" w:type="string" w:valueMode="normal" w:required="false" w:groupID="20">
    <w:identifier xml:space="preserve">ID29</w:identifier>
    <w:name xml:space="preserve">“Taʼminotchi”ning xizmatlarni ko‘rsatish joyi (xizmat ko‘rsatish chegarasi) ichimlik suv taʼminoti uchun</w:name>
    <w:value w:hidden="false">
      <w:unit w:active="false"/>
    </w:value>
  </w:element>
  <w:element w:id="30" w:kind="variable" w:selector="check" w:type="string" w:valueMode="normal" w:required="false" w:groupID="20">
    <w:identifier xml:space="preserve">ID30</w:identifier>
    <w:name xml:space="preserve">“Taʼminotchi”ning oqova suv chiqarishda oqova suv quvurining taʼminoti uchun</w:name>
    <w:value w:hidden="false">
      <w:unit w:active="false"/>
    </w:value>
  </w:element>
  <w:element w:id="31" w:kind="variable" w:selector="check" w:type="string" w:valueMode="normal" w:required="false" w:groupID="20">
    <w:identifier xml:space="preserve">ID31</w:identifier>
    <w:name xml:space="preserve">1 m3 ichimlik suv uchun tarif narxi</w:name>
    <w:value w:hidden="false">
      <w:unit w:active="false"/>
    </w:value>
  </w:element>
  <w:element w:id="32" w:kind="variable" w:selector="check" w:type="string" w:valueMode="normal" w:required="false" w:groupID="20">
    <w:identifier xml:space="preserve">ID32</w:identifier>
    <w:name xml:space="preserve">1 m3 ichimlik suv uchun maxsus ustama xaq narxi</w:name>
    <w:value w:hidden="false">
      <w:unit w:active="false"/>
    </w:value>
  </w:element>
  <w:element w:id="33" w:kind="variable" w:selector="check" w:type="string" w:valueMode="normal" w:required="false" w:groupID="20">
    <w:identifier xml:space="preserve">ID33</w:identifier>
    <w:name xml:space="preserve">1 m3 oqova suv olib chiqish xizmati uchun tarif narxi</w:name>
    <w:value w:hidden="false">
      <w:unit w:active="false"/>
    </w:value>
  </w:element>
  <w:element w:id="34" w:kind="variable" w:selector="check" w:type="string" w:valueMode="normal" w:required="false" w:groupID="20">
    <w:identifier xml:space="preserve">ID34</w:identifier>
    <w:name xml:space="preserve">1 m3 oqova suv olib chiqish xizmati uchun maxsus ustama xaq miqdori</w:name>
    <w:value w:hidden="false">
      <w:unit w:active="false"/>
    </w:value>
  </w:element>
</w:structure>
</file>