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4254" w:type="dxa"/>
      </w:tblPr>
      <w:tblGrid>
        <w:gridCol w:w="5101"/>
      </w:tblGrid>
      <w:tr>
        <w:tc>
          <w:tcPr>
            <w:tcW w:w="5317" w:type="dxa"/>
            <w:shd w:fill="auto"/>
          </w:tcPr>
          <w:p>
            <w:pPr>
              <w:jc w:val="right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Daʼvo ariza berilgan fuqarolik ishlari bo‘yicha sud nomi</w:t>
            </w:r>
            <w:r>
              <w:rPr>
                <w:vanish w:val="false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5317" w:type="dxa"/>
            <w:shd w:fill="auto"/>
          </w:tcPr>
          <w:p>
            <w:pPr>
              <w:jc w:val="right"/>
              <w:spacing w:after="0" w:line="252" w:lineRule="auto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5317" w:type="dxa"/>
            <w:shd w:fill="auto"/>
          </w:tcPr>
          <w:p>
            <w:pPr>
              <w:jc w:val="right"/>
              <w:spacing w:after="0" w:line="252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Daʼvogar: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Daʼvogarning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5317" w:type="dxa"/>
            <w:shd w:fill="auto"/>
          </w:tcPr>
          <w:p>
            <w:pPr>
              <w:jc w:val="right"/>
              <w:spacing w:after="0" w:line="252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Daʼvogarning yashash (joylashgan)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5317" w:type="dxa"/>
            <w:shd w:fill="auto"/>
          </w:tcPr>
          <w:p>
            <w:pPr>
              <w:jc w:val="right"/>
              <w:spacing w:after="0" w:line="252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Daʼvogarning telefon raqamlari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right"/>
              <w:spacing w:after="0" w:line="252" w:lineRule="auto"/>
              <w:rPr>
                <w:i/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Pochta:</w:t>
            </w:r>
            <w:r>
              <w:rPr>
                <w:i/>
                <w:sz w:val="24"/>
                <w:rFonts w:ascii="Times New Roman" w:hAnsi="Times New Roman"/>
              </w:rPr>
              <w:t xml:space="preserve"> 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  <w:t xml:space="preserve">Daʼvogarning pochta (elektron) manzili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5317" w:type="dxa"/>
            <w:shd w:fill="auto"/>
          </w:tcPr>
          <w:p>
            <w:pPr>
              <w:jc w:val="right"/>
              <w:spacing w:after="0" w:line="252" w:lineRule="auto"/>
              <w:rPr>
                <w:b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5317" w:type="dxa"/>
            <w:shd w:fill="auto"/>
          </w:tcPr>
          <w:p>
            <w:pPr>
              <w:jc w:val="right"/>
              <w:spacing w:after="0" w:line="252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Javobgar: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Javobgarning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5317" w:type="dxa"/>
            <w:shd w:fill="auto"/>
          </w:tcPr>
          <w:p>
            <w:pPr>
              <w:jc w:val="right"/>
              <w:spacing w:after="0" w:line="252" w:lineRule="auto"/>
              <w:rPr>
                <w:i/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Javobgarning yashash (joylashgan)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5317" w:type="dxa"/>
            <w:shd w:fill="auto"/>
          </w:tcPr>
          <w:p>
            <w:pPr>
              <w:jc w:val="right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Javobgarning telefon raqamlari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Pochta: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  <w:t xml:space="preserve">Javobgarning pochta (elektron)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pStyle w:val="ConsPlusNonformat"/>
        <w:jc w:val="both"/>
        <w:rPr>
          <w:sz w:val="24"/>
          <w:rFonts w:ascii="Times New Roman" w:hAnsi="Times New Roman"/>
        </w:rPr>
      </w:pPr>
    </w:p>
    <w:p>
      <w:pPr>
        <w:pStyle w:val="ConsPlusNonformat"/>
        <w:jc w:val="center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DAʼVO ARIZA</w:t>
      </w:r>
    </w:p>
    <w:p>
      <w:pPr>
        <w:pStyle w:val="ConsPlusNonformat"/>
        <w:jc w:val="center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(Ijara shartnomasini bekor qilish va ijara toʻlovlari boʻyicha qarzdorlikni</w:t>
      </w:r>
    </w:p>
    <w:p>
      <w:pPr>
        <w:pStyle w:val="ConsPlusNonformat"/>
        <w:jc w:val="center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undirish toʻgʻrisida)</w:t>
      </w:r>
    </w:p>
    <w:p>
      <w:pPr>
        <w:pStyle w:val="ConsPlusNonformat"/>
        <w:jc w:val="center"/>
        <w:rPr>
          <w:sz w:val="24"/>
          <w:rFonts w:ascii="Times New Roman" w:hAnsi="Times New Roman"/>
        </w:rPr>
      </w:pP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Taraflar o‘rtasida ijara shartnomasi tuzilgan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kuni taraflar oʻrtasida ijara shartnomasi tuzilgan. </w:t>
      </w: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Mazkur shartnomada ijara haqi har oyga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Ijara shartnomasiga ko‘ra har oyda to‘lanishi lozim bo‘lgan ijara haqi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etib belgilanib, toʻlovlar har oyning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Shartnomada ijara to‘lovlari har oyning qaysi sanasida to‘lanishi belgilangan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sanasiga qadar toʻlanishi belgilangan. </w:t>
      </w:r>
    </w:p>
    <w:p>
      <w:pPr>
        <w:pStyle w:val="ConsPlusNonformat"/>
        <w:jc w:val="both"/>
        <w:ind w:firstLine="720"/>
        <w:rPr>
          <w:i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Ijara shartnomasida belgilangan majburiyatlar javobgar tomonidan bajarilmasdan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Ijara to‘lovlari to‘lanmagan oylar soni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oy uchun toʻlanishi lozim boʻlgan jami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Javobgar tomonidan to‘lanmagan jami ijara pullari summasi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ijara toʻlovlari toʻlanmasdan kelinmoqda. Shartnoma boʻyicha majburiyatlarini bajarishi lozimligi toʻgʻrisida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Javobgarga shartnomadagi majburiyatlarini bajarishi to‘g‘risida ogohlantirish xati yuborilgan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kuni javobgarga ogohlantirish xati yuborilgan. Biroq, javobgar hozirga qadar asossiz ravishda majbriyatlarini bajarmasdan kelmoqda.  </w:t>
      </w:r>
    </w:p>
    <w:p>
      <w:pPr>
        <w:pStyle w:val="ConsPlusNonformat"/>
        <w:jc w:val="both"/>
        <w:ind w:firstLine="720"/>
        <w:rPr>
          <w:i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Respublikasining Fuqarolik Kodeksining 535-moddasiga asosan, mulk ijarasi shartnomasi boʻyicha ijaraga beruvchi ijaraga oluvchiga haq evaziga mol-mulkni vaqtincha egalik qilish va foydalanish yoki foydalanish uchun topshirish majburiyatini oladi.</w:t>
      </w:r>
    </w:p>
    <w:p>
      <w:pPr>
        <w:jc w:val="both"/>
        <w:ind w:firstLine="72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Kodeksning 543-moddasida ijaraga oluvchi mol-mulkdan foydalanganlik uchun haqni oʻz vaqtida toʻlab turishi shart.</w:t>
      </w:r>
    </w:p>
    <w:p>
      <w:pPr>
        <w:jc w:val="both"/>
        <w:ind w:firstLine="72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Shuningdek, mazkur kodeksning 551-moddasida ijaraga oluvchi shartnomada belgilangan toʻlov muddatini ketma-ket ikki martadan ortiq buzib, mol-mulkdan foydalanganlik uchun haq toʻlamasa mulk ijarasi shartnomasi ijaraga beruvchining talabi bilan sud tomonidan muddatidan oldin bekor qilinishi mumkinligi belgilangan. </w:t>
      </w:r>
    </w:p>
    <w:p>
      <w:pPr>
        <w:jc w:val="both"/>
        <w:ind w:firstLine="72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Ushbu Kodeksning 382-moddasiga koʻra ijaraga beruvchi ijaraga oluvchini yozma ravishda ogohlantirganidan va unga oʻz majburiyatlarini bajarish uchun imkoniyat berganidan keyingina shartnoma muddatidan oldin bekor qilinishini talab qilishga haqli.</w:t>
      </w:r>
    </w:p>
    <w:p>
      <w:pPr>
        <w:jc w:val="both"/>
        <w:ind w:firstLine="72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Mol-mulkdan foydalanganlik uchun haq toʻlash tartibi, shartlari va muddatlari mulk ijarasi shartnomasi bilan belgilanadi. Bular shartnomada belgilanmagan hollarda odatda xuddi shunday mol-mulkni oʻxshash holatlarda ijaraga berishda qoʻllaniladigan tartib, shartlar va muddatlar belgilangan deb hisoblanadi.</w:t>
      </w:r>
    </w:p>
    <w:p>
      <w:pPr>
        <w:jc w:val="both"/>
        <w:ind w:firstLine="72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Agar shartnomada boshqacha tartib nazarda tutilgan boʻlmasa, mol-mulkdan foydalanganlik uchun ijara haqini toʻlash muddatlari ijaraga oluvchi tomonidan jiddiy buzilgan taqdirda, ijaraga beruvchi undan ijara haqini muddatidan oldin, ijaraga beruvchi belgilagan muddatda toʻlashni talab qilishga haqli. </w:t>
      </w:r>
    </w:p>
    <w:p>
      <w:pPr>
        <w:jc w:val="both"/>
        <w:ind w:firstLine="72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“Ijara toʻgʻrisida”gi Qonunning 12-moddasi birinchi qismiga muvofiq, ijara haqi ijara shartnomasida tomonlarning oʻzaro kelishuviga binoan belgilanadi, bunda yer va tabiiy resurslar uchun ijara haqi Oʻzbekiston Respublikasi qonunlarida koʻrsatilgan tartibda va doirada belgilanadi.</w:t>
      </w:r>
    </w:p>
    <w:p>
      <w:pPr>
        <w:jc w:val="both"/>
        <w:ind w:firstLine="72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Ijara haqi ijaraga olingan mol-mulkning egasiga toʻlanadi. Bunda, basharti davlat mol-mulk ijaraga berilgan boʻlsa, ijara haqi qonun hujjatlarida belgilangan tartibda taqsimlanishi lozim.</w:t>
      </w:r>
    </w:p>
    <w:p>
      <w:pPr>
        <w:jc w:val="both"/>
        <w:ind w:firstLine="72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Yuqoridagilarga asosan, Oʻzbekiston Respublikasi Fuqarolik kodeksining 237, 543, 551-moddalari, Fuqarolik protsessual kodeksining 188, 189-191-moddalariga asosan,</w:t>
      </w: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</w:p>
    <w:p>
      <w:pPr>
        <w:pStyle w:val="ConsPlusNonformat"/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1. 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Taraflar o‘rtasida ijara shartnomasi tuzilgan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taraflar oʻrtasida tuzilgan ijara shartnomani bekor qilishni.</w:t>
      </w: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 Javobgardan ijara shartnomasi asosida toʻlanishi lozim boʻlgan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Javobgar tomonidan to‘lanmagan jami ijara pullari summasi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qarzdorlikni undirishni.</w:t>
      </w: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 Javobgardan men tomonimdan dastlab toʻlangan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Daʼvogar tomonidan to‘langan davlat boji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davlat bojini undirishni.</w:t>
      </w: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Ilova qilinayetgan hujjatlar</w:t>
      </w:r>
      <w:r>
        <w:rPr>
          <w:sz w:val="24"/>
          <w:rFonts w:ascii="Times New Roman" w:hAnsi="Times New Roman"/>
        </w:rPr>
        <w:t>:</w:t>
      </w: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 Ijara shartnoma nusxasi.</w:t>
      </w: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 Shartnomani bekor qilishga asos boʻlgan xujjatlardan nusxa.</w:t>
      </w: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 Davlat boji toʻlanganligi toʻgʻrisida chipta.</w:t>
      </w: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 Daʼvo ariza nusxasi javobgarga yuborilganligini tasdiqlovchi hujjat.</w:t>
      </w: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5. 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Daʼvo arizaga ilova qilinadigan boshqa hujjatlar ro‘yxati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</w:p>
    <w:p>
      <w:pPr>
        <w:pStyle w:val="ConsPlusNonformat"/>
        <w:jc w:val="both"/>
        <w:ind w:firstLine="720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4684"/>
        <w:gridCol w:w="4671"/>
      </w:tblGrid>
      <w:tr>
        <w:tc>
          <w:tcPr>
            <w:tcW w:w="4785" w:type="dxa"/>
            <w:shd w:fill="auto"/>
          </w:tcPr>
          <w:p>
            <w:pPr>
              <w:pStyle w:val="ConsPlusNonformat"/>
              <w:jc w:val="both"/>
              <w:ind w:firstLine="72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Daʼvogarning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4786" w:type="dxa"/>
            <w:shd w:fill="auto"/>
          </w:tcPr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______________</w:t>
            </w:r>
          </w:p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  <w:t>(Imzo)</w:t>
            </w:r>
          </w:p>
        </w:tc>
      </w:tr>
      <w:tr>
        <w:tc>
          <w:tcPr>
            <w:tcW w:w="9571" w:type="dxa"/>
            <w:gridSpan w:val="2"/>
            <w:shd w:fill="auto"/>
          </w:tcPr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  <w:p>
            <w:pPr>
              <w:ind w:hanging="15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Daʼvo 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pStyle w:val="ConsPlusNonformat"/>
        <w:jc w:val="both"/>
        <w:ind w:firstLine="720"/>
        <w:rPr>
          <w:i/>
          <w:sz w:val="24"/>
          <w:rFonts w:ascii="Times New Roman" w:hAnsi="Times New Roman"/>
        </w:rPr>
      </w:pPr>
    </w:p>
    <w:p>
      <w:pPr>
        <w:pStyle w:val="ConsPlusNonformat"/>
        <w:jc w:val="both"/>
        <w:ind w:firstLine="720"/>
        <w:rPr>
          <w:i/>
          <w:sz w:val="24"/>
          <w:rFonts w:ascii="Times New Roman" w:hAnsi="Times New Roman"/>
        </w:rPr>
      </w:pPr>
    </w:p>
    <w:p>
      <w:pPr>
        <w:pStyle w:val="ConsPlusNonformat"/>
        <w:jc w:val="both"/>
        <w:ind w:firstLine="720"/>
        <w:rPr>
          <w:i/>
          <w:sz w:val="24"/>
          <w:rFonts w:ascii="Times New Roman" w:hAnsi="Times New Roman"/>
        </w:rPr>
      </w:pPr>
    </w:p>
    <w:p>
      <w:pPr>
        <w:pStyle w:val="ConsPlusNonformat"/>
        <w:jc w:val="both"/>
        <w:ind w:firstLine="720"/>
        <w:rPr>
          <w:i/>
          <w:sz w:val="24"/>
          <w:rFonts w:ascii="Times New Roman" w:hAnsi="Times New Roman"/>
        </w:rPr>
      </w:pPr>
    </w:p>
    <w:sectPr>
      <w:pgSz w:w="11906" w:h="16838"/>
      <w:pgMar w:left="1701" w:right="850" w:top="1134" w:bottom="567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FBE3D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E5033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A2669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BA415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3867A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A0E88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424E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3782E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7B44C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C386E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18D0748"/>
    <w:multiLevelType w:val="hybridMultilevel"/>
    <w:tmpl w:val="69BA6054"/>
    <w:lvl w:ilvl="0" w:tplc="0A4EA1F8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651"/>
    <w:rsid w:val="0002701D"/>
    <w:rsid w:val="000B4A3D"/>
    <w:rsid w:val="000F6CF5"/>
    <w:rsid w:val="00184E7C"/>
    <w:rsid w:val="0028307D"/>
    <w:rsid w:val="002848A8"/>
    <w:rsid w:val="002C522B"/>
    <w:rsid w:val="002F2D06"/>
    <w:rsid w:val="002F44B9"/>
    <w:rsid w:val="00304D13"/>
    <w:rsid w:val="00336835"/>
    <w:rsid w:val="003E61C0"/>
    <w:rsid w:val="004010C4"/>
    <w:rsid w:val="00430F10"/>
    <w:rsid w:val="004F1134"/>
    <w:rsid w:val="004F4BB5"/>
    <w:rsid w:val="0050241C"/>
    <w:rsid w:val="0050619F"/>
    <w:rsid w:val="00514ACA"/>
    <w:rsid w:val="005456B7"/>
    <w:rsid w:val="00627D0B"/>
    <w:rsid w:val="00637E47"/>
    <w:rsid w:val="006823FD"/>
    <w:rsid w:val="006B075B"/>
    <w:rsid w:val="006B6FBF"/>
    <w:rsid w:val="006D6BD4"/>
    <w:rsid w:val="007034C0"/>
    <w:rsid w:val="007D72BF"/>
    <w:rsid w:val="00844F31"/>
    <w:rsid w:val="008628B5"/>
    <w:rsid w:val="008A2709"/>
    <w:rsid w:val="00924A3A"/>
    <w:rsid w:val="009405EA"/>
    <w:rsid w:val="00945394"/>
    <w:rsid w:val="009E6ECE"/>
    <w:rsid w:val="00A20E96"/>
    <w:rsid w:val="00A2664A"/>
    <w:rsid w:val="00AC6651"/>
    <w:rsid w:val="00AE518A"/>
    <w:rsid w:val="00BC346E"/>
    <w:rsid w:val="00C0150C"/>
    <w:rsid w:val="00C25460"/>
    <w:rsid w:val="00C71C58"/>
    <w:rsid w:val="00CD3826"/>
    <w:rsid w:val="00CF336A"/>
    <w:rsid w:val="00D1276D"/>
    <w:rsid w:val="00D91FF2"/>
    <w:rsid w:val="00E643D7"/>
    <w:rsid w:val="00E75D25"/>
    <w:rsid w:val="00F6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2B8236E-954C-4C0F-BAC6-B10C8459C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1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C66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lausesuff">
    <w:name w:val="clausesuff"/>
    <w:uiPriority w:val="99"/>
    <w:rsid w:val="00304D13"/>
    <w:rPr>
      <w:rFonts w:cs="Times New Roman"/>
    </w:rPr>
  </w:style>
  <w:style w:type="character" w:styleId="a3">
    <w:name w:val="Hyperlink"/>
    <w:uiPriority w:val="99"/>
    <w:rsid w:val="00304D13"/>
    <w:rPr>
      <w:rFonts w:cs="Times New Roman"/>
      <w:color w:val="0000FF"/>
      <w:u w:val="single"/>
    </w:rPr>
  </w:style>
  <w:style w:type="table" w:styleId="a4">
    <w:name w:val="Table Grid"/>
    <w:basedOn w:val="a1"/>
    <w:locked/>
    <w:rsid w:val="006823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45394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801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Shakarboy Goyibnazarov</cp:lastModifiedBy>
  <cp:revision>2</cp:revision>
  <dcterms:created xsi:type="dcterms:W3CDTF">2022-09-13T07:20:00Z</dcterms:created>
  <dcterms:modified xsi:type="dcterms:W3CDTF">2022-09-13T07:20:00Z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Daʼvo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Daʼvo ariza berilgan fuqarolik ishlari bo‘yicha sud nomi</w:name>
    <w:comment xml:space="preserve">Misol uchun Fuqarolik ishlari bo‘yicha Samarqand viloyati, Toyloq tumanlaro sudigai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Daʼvo ariza berilgan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Daʼvogar to‘g‘risida maʼlumotlar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Daʼvogarning F.I.O.si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Daʼvogarning yashash (joylashgan) manzili</w:name>
    <w:comment xml:space="preserve">Izoh: Ushbu bandga viloyat, tuman (shahar), mahalla, ko‘cha nomi va uy raqami yoziladi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Daʼvogarning telefon raqamlari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Daʼvogarning pochta (elektron) manzili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Javobgarlar to‘g‘risida maʼlumotlar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Javobgarning yashash (joylashgan) manzili</w:name>
    <w:comment xml:space="preserve">Izoh: Ushbu bandga viloyat, tuman (shahar), mahalla, ko‘cha nomi va uy raqami yoziladi</w:comment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Javobgarning telefon raqamlari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Javobgarning pochta (elektron) manzili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Daʼvo ariza mazmuni</w:name>
    <w:value w:hidden="true">
      <w:unit w:active="false"/>
    </w:value>
  </w:element>
  <w:element w:id="16" w:kind="variable" w:selector="check" w:type="date" w:valueMode="normal" w:required="false" w:groupID="15">
    <w:identifier xml:space="preserve">ID16</w:identifier>
    <w:name xml:space="preserve">Taraflar o‘rtasida ijara shartnomasi tuzilgan sana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Ijara shartnomasiga ko‘ra har oyda to‘lanishi lozim bo‘lgan ijara haqi miqdori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Shartnomada ijara to‘lovlari har oyning qaysi sanasida to‘lanishi belgilangan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Ijara to‘lovlari to‘lanmagan oylar soni</w:name>
    <w:comment xml:space="preserve">Masalan: 3 oy, 6 oy</w:comment>
    <w:value w:hidden="false">
      <w:unit w:active="false"/>
    </w:value>
  </w:element>
  <w:element w:id="20" w:kind="variable" w:selector="check" w:type="date" w:valueMode="normal" w:required="false" w:groupID="15">
    <w:identifier xml:space="preserve">ID20</w:identifier>
    <w:name xml:space="preserve">Javobgar tomonidan to‘lanmagan jami ijara pullari summasi</w:name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Javobgarga shartnomadagi majburiyatlarini bajarishi to‘g‘risida ogohlantirish xati yuborilgan sana</w:name>
    <w:value w:hidden="false">
      <w:unit w:active="false"/>
    </w:value>
  </w:element>
  <w:element w:id="24" w:kind="variable" w:selector="check" w:type="string" w:valueMode="normal" w:required="false" w:groupID="15">
    <w:identifier xml:space="preserve">ID24</w:identifier>
    <w:name xml:space="preserve">Daʼvogar tomonidan to‘langan davlat boji miqdori</w:name>
    <w:comment xml:space="preserve">Raqam va so‘z bilan yoziladi</w:comment>
    <w:value w:hidden="false">
      <w:unit w:active="false"/>
    </w:value>
  </w:element>
  <w:element w:id="25" w:kind="variable" w:selector="check" w:type="string" w:valueMode="normal" w:required="false" w:groupID="15">
    <w:identifier xml:space="preserve">ID25</w:identifier>
    <w:name xml:space="preserve">Daʼvo arizaga ilova qilinadigan boshqa hujjatlar ro‘yxati</w:name>
    <w:value w:hidden="false">
      <w:unit w:active="false"/>
    </w:value>
  </w:element>
</w:structure>
</file>