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Ijodiy ta’til berish to‘g‘risida</w:t>
      </w:r>
    </w:p>
    <w:p>
      <w:pPr>
        <w:pStyle w:val="a3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</w:rPr>
        <w:t xml:space="preserve">Mehnat kodeksi 387-moddasiga asosan mehnat faoliyatini yoki pedagogik faoliyatni ilmiy ish bilan birga olib borayotgan shaxslarga asosiy ish joyida o‘rtacha ish haqi va lavozimi saqlangan holda quyidagi muddatlarga ijodiy ta’tillar beriladi:</w:t>
      </w:r>
    </w:p>
    <w:p>
      <w:pPr>
        <w:pStyle w:val="a3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</w:rPr>
        <w:t xml:space="preserve">falsafa doktori (Doctor of Philosophy (PhD) ilmiy darajasini olishga doir dissertatsiyani yakunlash uchun hamda darsliklar va o‘quv-uslubiy qo‘llanmalar qo‘lyozmalarining mualliflariga — uch oygacha;</w:t>
      </w:r>
    </w:p>
    <w:p>
      <w:pPr>
        <w:pStyle w:val="a3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</w:rPr>
        <w:t xml:space="preserve">fan doktori (Doctor of Science (DSc) ilmiy darajasini olishga doir doktorlik dissertatsiyani yakunlash uchun — olti oygacha.</w:t>
      </w:r>
    </w:p>
    <w:p>
      <w:pPr>
        <w:pStyle w:val="a3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</w:rPr>
        <w:t xml:space="preserve">Mualliflar jamoalari tomonidan darsliklar va o‘quv-uslubiy qo‘llanmalarini yozish chog‘ida mualliflar jamoasi a’zolaridan biriga mualliflar guruhining barcha a’zolari imzolagan yozma arizaga muvofiq ijodiy ta’til beriladi. Mualliflar ta’tilni o‘zaro taqsimlashga ham haqli.</w:t>
      </w:r>
    </w:p>
    <w:p>
      <w:pPr>
        <w:pStyle w:val="a3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</w:rPr>
        <w:t xml:space="preserve">Ilmiy daraja olishga da’vogarlarga, shuningdek darsliklarning yoki o‘quv-uslubiy qo‘llanmalarining mualliflariga navbatdagi yillik mehnat ta’tillari ular ijodiy ta’tillardan foydalanganligidan qat’i nazar beriladi.</w:t>
      </w:r>
    </w:p>
    <w:p>
      <w:pPr>
        <w:pStyle w:val="a3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</w:rPr>
        <w:t xml:space="preserve">O‘zbekiston Respublikasi Mehnat kodeksining 387-moddasiga muvofiq,</w:t>
      </w:r>
    </w:p>
    <w:p>
      <w:pPr>
        <w:pStyle w:val="a3"/>
        <w:jc w:val="both"/>
        <w:ind w:firstLine="708"/>
        <w:spacing w:after="0"/>
        <w:rPr>
          <w:color w:val="000000"/>
          <w:rFonts w:ascii="Times New Roman" w:hAnsi="Times New Roman"/>
        </w:rPr>
      </w:pPr>
      <w:r>
        <w:rPr>
          <w:sz w:val="28"/>
        </w:rPr>
        <w:tab/>
        <w:tab/>
        <w:tab/>
        <w:tab/>
        <w:tab/>
      </w:r>
      <w:r>
        <w:rPr>
          <w:b/>
          <w:sz w:val="28"/>
        </w:rPr>
        <w:t>BUYURAMAN</w:t>
      </w:r>
      <w:r>
        <w:rPr>
          <w:b/>
          <w:color w:val="000000"/>
          <w:sz w:val="28"/>
        </w:rPr>
        <w:t> </w:t>
      </w: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 si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Ijodiy ta’tilning mаqasadi</w:t>
        <w:fldChar w:fldCharType="end"/>
      </w:r>
      <w:r>
        <w:rPr>
          <w:color w:val="000000"/>
          <w:sz w:val="28"/>
        </w:rPr>
        <w:t xml:space="preserve"> uchun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Ijodiy ta’til boshlanadigan sana</w:t>
        <w:fldChar w:fldCharType="end"/>
      </w:r>
      <w:r>
        <w:rPr>
          <w:color w:val="000000"/>
          <w:sz w:val="28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Ijodiy ta’til tugaydigan sana</w:t>
        <w:fldChar w:fldCharType="end"/>
      </w:r>
      <w:r>
        <w:rPr>
          <w:color w:val="000000"/>
          <w:sz w:val="28"/>
        </w:rPr>
        <w:t xml:space="preserve">gacha asosiy ish joyida o‘rtacha oylik ish haqi va lavozimi saqlangan holda ijodiy ta’til berilsin.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2</w:t>
      </w:r>
      <w:r>
        <w:rPr>
          <w:color w:val="000000"/>
          <w:sz w:val="28"/>
        </w:rPr>
        <w:t>.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ishga chiqish sanasi</w:t>
        <w:fldChar w:fldCharType="end"/>
      </w:r>
      <w:r>
        <w:rPr>
          <w:color w:val="000000"/>
          <w:sz w:val="28"/>
        </w:rPr>
        <w:t xml:space="preserve"> xodimning ishga chiqish kuni sifatida belgilansin.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3.</w:t>
      </w:r>
      <w:r>
        <w:rPr>
          <w:color w:val="000000"/>
          <w:sz w:val="28"/>
        </w:rPr>
        <w:t xml:space="preserve"> Buxgalteriya bo‘limi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 si</w:t>
        <w:fldChar w:fldCharType="end"/>
      </w:r>
      <w:r>
        <w:rPr>
          <w:color w:val="000000"/>
          <w:sz w:val="28"/>
        </w:rPr>
        <w:t xml:space="preserve"> ga ish haqi hisoblashda xodimning ta’tilda bo‘lgan davri uchun o‘rtacha oylik ish haqi saqlab qolinishini hisobga olsin.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color w:val="000000"/>
          <w:sz w:val="22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2"/>
        </w:rPr>
        <w:t>Asos</w:t>
      </w:r>
      <w:r>
        <w:rPr>
          <w:color w:val="000000"/>
          <w:sz w:val="22"/>
        </w:rPr>
        <w:t xml:space="preserve">: O‘zbekiston Respublikasi Mehnat kodeksining 387-moddasi,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2"/>
          <w:rFonts w:ascii="Times New Roman" w:hAnsi="Times New Roman"/>
        </w:rPr>
        <w:t xml:space="preserve">Xodimning F.I.O si</w:t>
        <w:fldChar w:fldCharType="end"/>
      </w:r>
      <w:r>
        <w:rPr>
          <w:b/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ning arizasi, 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Ijodiy ta’til berish uchun asos bo‘lgan boshqa hujjatlar (mavjud bo‘lganda</w:t>
        <w:fldChar w:fldCharType="end"/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spacing w:after="0"/>
      </w:pPr>
    </w:p>
    <w:p/>
    <w:p>
      <w:pPr>
        <w:jc w:val="both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5E7"/>
    <w:rsid w:val="000B4957"/>
    <w:rsid w:val="001755FD"/>
    <w:rsid w:val="00181510"/>
    <w:rsid w:val="0020484B"/>
    <w:rsid w:val="002E03EF"/>
    <w:rsid w:val="00335B33"/>
    <w:rsid w:val="00403F33"/>
    <w:rsid w:val="00634717"/>
    <w:rsid w:val="00752E69"/>
    <w:rsid w:val="007B33F9"/>
    <w:rsid w:val="0081279B"/>
    <w:rsid w:val="009B4167"/>
    <w:rsid w:val="00A76648"/>
    <w:rsid w:val="00AB3997"/>
    <w:rsid w:val="00AE6CD4"/>
    <w:rsid w:val="00B476DB"/>
    <w:rsid w:val="00C335E7"/>
    <w:rsid w:val="00C921B0"/>
    <w:rsid w:val="00D3279B"/>
    <w:rsid w:val="00EB3C09"/>
    <w:rsid w:val="00FB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FFFD"/>
  <w15:chartTrackingRefBased/>
  <w15:docId w15:val="{E0327A29-B483-4F56-85CA-59F6A79E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5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E6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665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4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56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88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7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5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6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13</cp:revision>
  <dcterms:created xsi:type="dcterms:W3CDTF">2024-11-22T09:37:00Z</dcterms:created>
  <dcterms:modified xsi:type="dcterms:W3CDTF">2025-01-07T09:56:00Z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F.I.O 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category" w:type="string" w:valueMode="normal" w:required="false" w:groupID="9">
    <w:identifier xml:space="preserve">ID9</w:identifier>
    <w:name xml:space="preserve">Ijodiy ta’tilning mаqasadi</w:name>
    <w:value w:hidden="true">
      <w:unit w:active="false"/>
    </w:value>
  </w:element>
  <w:element w:id="10" w:kind="variable" w:type="string" w:valueMode="normal" w:required="false" w:groupID="9">
    <w:identifier xml:space="preserve">ID10</w:identifier>
    <w:name xml:space="preserve">Ijodiy ta’tilning mаqasadi</w:name>
    <w:value w:hidden="false">
      <w:unit w:active="false"/>
    </w:value>
  </w:element>
  <w:element w:id="11" w:kind="variable" w:type="string" w:valueMode="normal" w:required="false" w:groupID="9">
    <w:identifier xml:space="preserve">ID11</w:identifier>
    <w:name xml:space="preserve">Ijodiy ta’til boshlanadigan sana</w:name>
    <w:value w:hidden="false">
      <w:unit w:active="false"/>
    </w:value>
  </w:element>
  <w:element w:id="12" w:kind="variable" w:type="string" w:valueMode="normal" w:required="false" w:groupID="9">
    <w:identifier xml:space="preserve">ID12</w:identifier>
    <w:name xml:space="preserve">Ijodiy ta’til tugaydigan sana</w:name>
    <w:value w:hidden="false">
      <w:unit w:active="false"/>
    </w:value>
  </w:element>
  <w:element w:id="16" w:kind="variable" w:type="string" w:valueMode="normal" w:required="false" w:groupID="9">
    <w:identifier xml:space="preserve">ID16</w:identifier>
    <w:name xml:space="preserve">Xodimning ishga chiqish sanasi</w:name>
    <w:value w:hidden="false">
      <w:unit w:active="false"/>
    </w:value>
  </w:element>
  <w:element w:id="17" w:kind="variable" w:type="string" w:valueMode="normal" w:required="false" w:groupID="9">
    <w:identifier xml:space="preserve">ID17</w:identifier>
    <w:name xml:space="preserve">Ijodiy ta’til berish uchun asos bo‘lgan boshqa hujjatlar (mavjud bo‘lganda</w:name>
    <w:value w:hidden="false">
      <w:unit w:active="false"/>
    </w:value>
  </w:element>
  <w:element w:id="18" w:kind="variable" w:type="string" w:valueMode="normal" w:required="false" w:groupID="5">
    <w:identifier xml:space="preserve">ID18</w:identifier>
    <w:name xml:space="preserve">Buyruq chiqargan shaxsning lavozimi</w:name>
    <w:value w:hidden="false">
      <w:unit w:active="false"/>
    </w:value>
  </w:element>
  <w:element w:id="19" w:kind="variable" w:type="string" w:valueMode="normal" w:required="false" w:groupID="5">
    <w:identifier xml:space="preserve">ID19</w:identifier>
    <w:name xml:space="preserve">Buyruq chiqargan shaxsning F.I.O.si</w:name>
    <w:value w:hidden="false">
      <w:unit w:active="false"/>
    </w:value>
  </w:element>
</w:structure>
</file>