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45"/>
        <w:gridCol w:w="4710"/>
      </w:tblGrid>
      <w:tr>
        <w:tc>
          <w:tcPr>
            <w:tcW w:w="4691" w:type="dxa"/>
            <w:shd w:fill="auto"/>
          </w:tcPr>
          <w:p>
            <w:pPr>
              <w:spacing w:after="0"/>
              <w:rPr>
                <w:sz w:val="24"/>
                <w:rFonts w:ascii="Times New Roman" w:hAnsi="Times New Roman"/>
              </w:rPr>
            </w:pPr>
            <w:r>
              <w:rPr>
                <w:color w:val="000000"/>
                <w:sz w:val="24"/>
                <w:rFonts w:ascii="Times New Roman" w:hAnsi="Times New Roman"/>
              </w:rPr>
              <w:t xml:space="preserve">                      </w:t>
            </w:r>
          </w:p>
        </w:tc>
        <w:tc>
          <w:tcPr>
            <w:tcW w:w="4880" w:type="dxa"/>
            <w:shd w:fill="auto"/>
          </w:tcPr>
          <w:p>
            <w:pPr>
              <w:jc w:val="both"/>
              <w:spacing w:after="0"/>
              <w:rPr>
                <w:sz w:val="24"/>
                <w:rFonts w:ascii="Times New Roman" w:hAnsi="Times New Roman"/>
              </w:rPr>
            </w:pPr>
            <w:r>
              <w:rPr>
                <w:b/>
                <w:sz w:val="24"/>
                <w:rFonts w:ascii="Times New Roman" w:hAnsi="Times New Roman"/>
              </w:rPr>
              <w:t xml:space="preserve">Iqtisodiy ishlar boʻyicha </w:t>
            </w:r>
            <w:r>
              <w:rPr>
                <w:b/>
                <w:vanish w:val="false"/>
                <w:sz w:val="24"/>
                <w:rFonts w:ascii="Times New Roman" w:hAnsi="Times New Roman"/>
              </w:rPr>
              <w:fldChar w:fldCharType="begin"/>
              <w:instrText xml:space="preserve">X {"Y":2}</w:instrText>
              <w:fldChar w:fldCharType="separate"/>
              <w:t xml:space="preserve">Iltimosnoma berilgan iqtisodiy sudi nomi</w:t>
            </w:r>
            <w:r>
              <w:rPr>
                <w:b/>
                <w:vanish w:val="false"/>
                <w:sz w:val="24"/>
                <w:rFonts w:ascii="Times New Roman" w:hAnsi="Times New Roman"/>
              </w:rPr>
              <w:fldChar w:fldCharType="end"/>
            </w:r>
            <w:r>
              <w:rPr>
                <w:b/>
                <w:sz w:val="24"/>
                <w:rFonts w:ascii="Times New Roman" w:hAnsi="Times New Roman"/>
              </w:rPr>
              <w:t>ga</w:t>
            </w:r>
          </w:p>
        </w:tc>
      </w:tr>
      <w:tr>
        <w:tc>
          <w:tcPr>
            <w:tcW w:w="4691" w:type="dxa"/>
            <w:shd w:fill="auto"/>
          </w:tcPr>
          <w:p>
            <w:pPr>
              <w:spacing w:after="0"/>
              <w:rPr>
                <w:sz w:val="24"/>
                <w:rFonts w:ascii="Times New Roman" w:hAnsi="Times New Roman"/>
              </w:rPr>
            </w:pPr>
          </w:p>
        </w:tc>
        <w:tc>
          <w:tcPr>
            <w:tcW w:w="4880" w:type="dxa"/>
            <w:shd w:fill="auto"/>
          </w:tcPr>
          <w:p>
            <w:pPr>
              <w:jc w:val="both"/>
              <w:spacing w:after="0"/>
              <w:rPr>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Iltimosnoma beruvchining manzili</w:t>
            </w:r>
            <w:r>
              <w:rPr>
                <w:vanish w:val="false"/>
                <w:sz w:val="24"/>
                <w:rFonts w:ascii="Times New Roman" w:hAnsi="Times New Roman"/>
              </w:rPr>
              <w:fldChar w:fldCharType="end"/>
            </w:r>
          </w:p>
          <w:p>
            <w:pPr>
              <w:jc w:val="both"/>
              <w:spacing w:after="0"/>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Iltimosnoma beruvchi yuridik shaxs nomi yoki yakka tartibdagi tadbirkor (YATT)ning F.I.Osi</w:t>
            </w:r>
            <w:r>
              <w:rPr>
                <w:vanish w:val="false"/>
                <w:sz w:val="24"/>
                <w:rFonts w:ascii="Times New Roman" w:hAnsi="Times New Roman"/>
              </w:rPr>
              <w:fldChar w:fldCharType="end"/>
            </w:r>
            <w:r>
              <w:rPr>
                <w:sz w:val="24"/>
              </w:rPr>
              <w:t>dan</w:t>
            </w:r>
          </w:p>
        </w:tc>
      </w:tr>
      <w:tr>
        <w:trPr>
          <w:gridAfter w:val="1"/>
        </w:trPr>
        <w:tc>
          <w:tcPr>
            <w:tcW w:w="4880" w:type="dxa"/>
            <w:shd w:fill="auto"/>
          </w:tcPr>
          <w:p>
            <w:pPr>
              <w:spacing w:after="0"/>
              <w:rPr>
                <w:sz w:val="24"/>
                <w:rFonts w:ascii="Times New Roman" w:hAnsi="Times New Roman"/>
              </w:rPr>
            </w:pPr>
          </w:p>
        </w:tc>
      </w:tr>
    </w:tbl>
    <w:p>
      <w:pPr>
        <w:pStyle w:val="a0"/>
        <w:jc w:val="center"/>
        <w:spacing w:after="0"/>
        <w:rPr>
          <w:b/>
          <w:sz w:val="24"/>
          <w:rFonts w:ascii="Times New Roman" w:hAnsi="Times New Roman"/>
        </w:rPr>
      </w:pPr>
    </w:p>
    <w:p>
      <w:pPr>
        <w:pStyle w:val="a0"/>
        <w:jc w:val="center"/>
        <w:spacing w:after="0"/>
        <w:rPr>
          <w:b/>
          <w:sz w:val="24"/>
          <w:rFonts w:ascii="Times New Roman" w:hAnsi="Times New Roman"/>
        </w:rPr>
      </w:pPr>
      <w:r>
        <w:rPr>
          <w:b/>
          <w:sz w:val="24"/>
          <w:rFonts w:ascii="Times New Roman" w:hAnsi="Times New Roman"/>
        </w:rPr>
        <w:t>ILTIMOSNOMA</w:t>
      </w:r>
    </w:p>
    <w:p>
      <w:pPr>
        <w:jc w:val="center"/>
        <w:spacing w:after="0"/>
        <w:rPr>
          <w:color w:val="000000"/>
          <w:sz w:val="24"/>
          <w:rFonts w:ascii="Times New Roman" w:hAnsi="Times New Roman"/>
        </w:rPr>
      </w:pPr>
      <w:r>
        <w:rPr>
          <w:color w:val="000000"/>
          <w:sz w:val="24"/>
          <w:rFonts w:ascii="Times New Roman" w:hAnsi="Times New Roman"/>
        </w:rPr>
        <w:t xml:space="preserve">ijro varaqasi berish toʻgʻrisida</w:t>
      </w:r>
    </w:p>
    <w:p>
      <w:pPr>
        <w:pStyle w:val="a0"/>
        <w:jc w:val="both"/>
        <w:ind w:firstLine="900"/>
        <w:spacing w:after="0"/>
        <w:rPr>
          <w:sz w:val="24"/>
          <w:rFonts w:ascii="Times New Roman" w:hAnsi="Times New Roman"/>
        </w:rPr>
      </w:pPr>
    </w:p>
    <w:p>
      <w:pPr>
        <w:pStyle w:val="a0"/>
        <w:jc w:val="both"/>
        <w:ind w:firstLine="684"/>
        <w:spacing w:after="0"/>
        <w:rPr>
          <w:sz w:val="24"/>
          <w:rFonts w:ascii="Times New Roman" w:hAnsi="Times New Roman"/>
        </w:rPr>
      </w:pPr>
      <w:r>
        <w:rPr>
          <w:sz w:val="24"/>
          <w:rFonts w:ascii="Times New Roman" w:hAnsi="Times New Roman"/>
        </w:rPr>
        <w:t xml:space="preserve">Iqtisodiy ishlar boʻyicha </w:t>
      </w:r>
      <w:r>
        <w:rPr>
          <w:vanish w:val="false"/>
          <w:sz w:val="24"/>
          <w:rFonts w:ascii="Times New Roman" w:hAnsi="Times New Roman"/>
        </w:rPr>
        <w:fldChar w:fldCharType="begin"/>
        <w:instrText xml:space="preserve">X {"Y":2}</w:instrText>
        <w:fldChar w:fldCharType="separate"/>
        <w:t xml:space="preserve">Iltimosnoma berilgan iqtisodiy sudi nomi</w:t>
      </w:r>
      <w:r>
        <w:rPr>
          <w:vanish w:val="false"/>
          <w:sz w:val="24"/>
          <w:rFonts w:ascii="Times New Roman" w:hAnsi="Times New Roman"/>
        </w:rPr>
        <w:fldChar w:fldCharType="end"/>
      </w:r>
      <w:r>
        <w:rPr>
          <w:sz w:val="24"/>
          <w:rFonts w:ascii="Times New Roman" w:hAnsi="Times New Roman"/>
        </w:rPr>
        <w:t xml:space="preserve"> sudi tomonidan mening javobgar </w:t>
      </w:r>
      <w:r>
        <w:rPr>
          <w:vanish w:val="false"/>
          <w:sz w:val="24"/>
          <w:rFonts w:ascii="Times New Roman" w:hAnsi="Times New Roman"/>
        </w:rPr>
        <w:fldChar w:fldCharType="begin"/>
        <w:instrText xml:space="preserve">X {"Y":9}</w:instrText>
        <w:fldChar w:fldCharType="separate"/>
        <w:t xml:space="preserve">Ish bo‘yicha javogarning nomi va tashkiliy huquqiy shakli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{"Y":10}</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toʻgʻrisidagi daʼvo arizam koʻrib chiqilgan. Sud </w:t>
      </w:r>
      <w:r>
        <w:rPr>
          <w:vanish w:val="false"/>
          <w:sz w:val="24"/>
          <w:rFonts w:ascii="Times New Roman" w:hAnsi="Times New Roman"/>
        </w:rPr>
        <w:fldChar w:fldCharType="begin"/>
        <w:instrText xml:space="preserve">X {"Y":11}</w:instrText>
        <w:fldChar w:fldCharType="separate"/>
        <w:t xml:space="preserve">Sud qarori qabul qilingan sana</w:t>
      </w:r>
      <w:r>
        <w:rPr>
          <w:vanish w:val="false"/>
          <w:sz w:val="24"/>
          <w:rFonts w:ascii="Times New Roman" w:hAnsi="Times New Roman"/>
        </w:rPr>
        <w:t>у</w:t>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{"Y":12}</w:instrText>
        <w:fldChar w:fldCharType="separate"/>
        <w:t xml:space="preserve">Sud qarorining qisqacha mazmuni</w:t>
      </w:r>
      <w:r>
        <w:rPr>
          <w:vanish w:val="false"/>
          <w:sz w:val="24"/>
          <w:rFonts w:ascii="Times New Roman" w:hAnsi="Times New Roman"/>
        </w:rPr>
        <w:fldChar w:fldCharType="end"/>
      </w:r>
      <w:r>
        <w:rPr>
          <w:sz w:val="24"/>
          <w:rFonts w:ascii="Times New Roman" w:hAnsi="Times New Roman"/>
        </w:rPr>
        <w:t xml:space="preserve"> toʻgʻrisida qaror qabul qilgan. </w:t>
      </w:r>
    </w:p>
    <w:p>
      <w:pPr>
        <w:pStyle w:val="a0"/>
        <w:jc w:val="both"/>
        <w:ind w:firstLine="684"/>
        <w:spacing w:after="0"/>
        <w:rPr>
          <w:sz w:val="24"/>
          <w:rFonts w:ascii="Times New Roman" w:hAnsi="Times New Roman"/>
        </w:rPr>
      </w:pPr>
      <w:r>
        <w:rPr>
          <w:sz w:val="24"/>
          <w:rFonts w:ascii="Times New Roman" w:hAnsi="Times New Roman"/>
        </w:rPr>
        <w:t xml:space="preserve">O‘zbekiston Respublikasi Iqtisodiy protsessual kodeksining 336-moddasiga ko‘ra, sud hujjati bo‘yicha bitta ijro varaqasi beriladi. Ijro varaqasi sud hujjatini qabul qilgan sud tomonidan beriladi. Sud hujjati qonuniy kuchga kirganidan so‘ng besh kun ichida ijro varaqasi undiruvchiga beriladi yoki uning iltimosnomasiga ko‘ra davlat ijrochisiga ijro etish uchun yuboriladi.</w:t>
      </w:r>
    </w:p>
    <w:p>
      <w:pPr>
        <w:jc w:val="both"/>
        <w:ind w:firstLine="709"/>
        <w:spacing w:after="0"/>
        <w:rPr>
          <w:color w:val="000000"/>
          <w:sz w:val="24"/>
          <w:rFonts w:ascii="Times New Roman" w:hAnsi="Times New Roman"/>
        </w:rPr>
      </w:pPr>
      <w:r>
        <w:rPr>
          <w:color w:val="000000"/>
          <w:sz w:val="24"/>
          <w:rFonts w:ascii="Times New Roman" w:hAnsi="Times New Roman"/>
        </w:rPr>
        <w:t xml:space="preserve">Yuqoridagilardan kelib chiqib, Oʻzbekiston Respublikasi Iqtisodiy protsessual kodeksining 335-337-moddasiga asoslanib,</w:t>
      </w:r>
    </w:p>
    <w:p>
      <w:pPr>
        <w:jc w:val="both"/>
        <w:ind w:firstLine="709"/>
        <w:spacing w:after="0"/>
        <w:rPr>
          <w:b/>
          <w:color w:val="000000"/>
          <w:sz w:val="24"/>
          <w:rFonts w:ascii="Times New Roman" w:hAnsi="Times New Roman"/>
        </w:rPr>
      </w:pPr>
    </w:p>
    <w:p>
      <w:pPr>
        <w:jc w:val="center"/>
        <w:spacing w:after="0"/>
        <w:rPr>
          <w:b/>
          <w:color w:val="000000"/>
          <w:sz w:val="24"/>
          <w:rFonts w:ascii="Times New Roman" w:hAnsi="Times New Roman"/>
        </w:rPr>
      </w:pPr>
      <w:r>
        <w:rPr>
          <w:b/>
          <w:color w:val="000000"/>
          <w:sz w:val="24"/>
          <w:rFonts w:ascii="Times New Roman" w:hAnsi="Times New Roman"/>
        </w:rPr>
        <w:t>SOʻRAYMAN:</w:t>
      </w:r>
    </w:p>
    <w:p>
      <w:pPr>
        <w:jc w:val="center"/>
        <w:spacing w:after="0"/>
        <w:rPr>
          <w:color w:val="000000"/>
          <w:sz w:val="24"/>
          <w:rFonts w:ascii="Times New Roman" w:hAnsi="Times New Roman"/>
        </w:rPr>
      </w:pPr>
    </w:p>
    <w:p>
      <w:pPr>
        <w:jc w:val="both"/>
        <w:ind w:firstLine="684"/>
        <w:spacing w:after="0"/>
        <w:rPr>
          <w:color w:val="000000"/>
          <w:sz w:val="24"/>
          <w:rFonts w:ascii="Times New Roman" w:hAnsi="Times New Roman"/>
        </w:rPr>
      </w:pPr>
      <w:r>
        <w:rPr>
          <w:color w:val="000000"/>
          <w:sz w:val="24"/>
          <w:rFonts w:ascii="Times New Roman" w:hAnsi="Times New Roman"/>
        </w:rPr>
        <w:t xml:space="preserve">Iqtisodiy ishi yuzasidan ijro varaqasi berishingizni.</w:t>
      </w:r>
    </w:p>
    <w:p>
      <w:pPr>
        <w:pStyle w:val="a0"/>
        <w:jc w:val="both"/>
        <w:ind w:firstLine="900"/>
        <w:spacing w:after="0"/>
        <w:rPr>
          <w:b/>
          <w:sz w:val="24"/>
          <w:rFonts w:ascii="Times New Roman" w:hAnsi="Times New Roman"/>
        </w:rPr>
      </w:pPr>
    </w:p>
    <w:p>
      <w:pPr>
        <w:pStyle w:val="a0"/>
        <w:jc w:val="both"/>
        <w:ind w:firstLine="684"/>
        <w:spacing w:after="0"/>
        <w:rPr>
          <w:b/>
          <w:sz w:val="24"/>
          <w:rFonts w:ascii="Times New Roman" w:hAnsi="Times New Roman"/>
        </w:rPr>
      </w:pPr>
      <w:r>
        <w:rPr>
          <w:b/>
          <w:sz w:val="24"/>
          <w:rFonts w:ascii="Times New Roman" w:hAnsi="Times New Roman"/>
        </w:rPr>
        <w:t xml:space="preserve">Iltimosnomaga ilova qilinayotgan hujjatlar:</w:t>
      </w:r>
    </w:p>
    <w:p>
      <w:pPr>
        <w:jc w:val="both"/>
        <w:ind w:firstLine="348"/>
        <w:spacing w:after="0"/>
        <w:rPr>
          <w:color w:val="000000"/>
          <w:sz w:val="24"/>
          <w:rFonts w:ascii="Times New Roman" w:hAnsi="Times New Roman"/>
        </w:rPr>
      </w:pPr>
    </w:p>
    <w:p>
      <w:pPr>
        <w:numPr>
          <w:numId w:val="6"/>
          <w:ilvl w:val="0"/>
        </w:numPr>
        <w:jc w:val="both"/>
        <w:ind w:hanging="384"/>
        <w:spacing w:after="0"/>
        <w:rPr>
          <w:color w:val="000000"/>
          <w:sz w:val="24"/>
          <w:rFonts w:ascii="Times New Roman" w:hAnsi="Times New Roman"/>
        </w:rPr>
      </w:pPr>
      <w:r>
        <w:rPr>
          <w:color w:val="000000"/>
          <w:sz w:val="24"/>
          <w:rFonts w:ascii="Times New Roman" w:hAnsi="Times New Roman"/>
        </w:rPr>
        <w:t xml:space="preserve">Iltimosnoma nusxasi.</w:t>
      </w:r>
    </w:p>
    <w:p>
      <w:pPr>
        <w:numPr>
          <w:numId w:val="6"/>
          <w:ilvl w:val="0"/>
        </w:numPr>
        <w:jc w:val="both"/>
        <w:ind w:hanging="384"/>
        <w:spacing w:after="0"/>
        <w:rPr>
          <w:color w:val="000000"/>
          <w:sz w:val="24"/>
          <w:rFonts w:ascii="Times New Roman" w:hAnsi="Times New Roman"/>
        </w:rPr>
      </w:pPr>
      <w:r>
        <w:rPr>
          <w:color w:val="000000"/>
          <w:sz w:val="24"/>
          <w:rFonts w:ascii="Times New Roman" w:hAnsi="Times New Roman"/>
        </w:rPr>
        <w:t xml:space="preserve">Qaror nusxasi.</w:t>
      </w:r>
    </w:p>
    <w:p>
      <w:pPr>
        <w:jc w:val="both"/>
        <w:spacing w:after="0"/>
        <w:rPr>
          <w:color w:val="000000"/>
          <w:sz w:val="24"/>
          <w:rFonts w:ascii="Times New Roman" w:hAnsi="Times New Roman"/>
        </w:rPr>
      </w:pPr>
    </w:p>
    <w:p>
      <w:pPr>
        <w:pStyle w:val="a0"/>
        <w:jc w:val="both"/>
        <w:spacing w:after="0"/>
        <w:rPr>
          <w:sz w:val="24"/>
          <w:rFonts w:ascii="Times New Roman" w:hAnsi="Times New Roman"/>
        </w:rPr>
      </w:pPr>
    </w:p>
    <w:tbl>
      <w:tblPr>
        <w:tblW w:w="0" w:type="auto"/>
      </w:tblPr>
      <w:tblGrid>
        <w:gridCol w:w="3127"/>
        <w:gridCol w:w="3100"/>
        <w:gridCol w:w="3128"/>
      </w:tblGrid>
      <w:tr>
        <w:tc>
          <w:tcPr>
            <w:tcW w:w="3190" w:type="dxa"/>
            <w:shd w:fill="auto"/>
          </w:tcPr>
          <w:p>
            <w:pPr>
              <w:pStyle w:val="a0"/>
              <w:jc w:val="both"/>
              <w:spacing w:after="0"/>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Iltimosnoma beruvchi yuridik shaxs rahbarining yoki yakka tartibdagi tadbirkor (YATT)ning F.I.Osi</w:t>
            </w:r>
            <w:r>
              <w:rPr>
                <w:vanish w:val="false"/>
                <w:sz w:val="24"/>
                <w:rFonts w:ascii="Times New Roman" w:hAnsi="Times New Roman"/>
              </w:rPr>
              <w:fldChar w:fldCharType="end"/>
            </w:r>
          </w:p>
        </w:tc>
        <w:tc>
          <w:tcPr>
            <w:tcW w:w="3190" w:type="dxa"/>
            <w:shd w:fill="auto"/>
          </w:tcPr>
          <w:p>
            <w:pPr>
              <w:pStyle w:val="a0"/>
              <w:spacing w:after="0"/>
              <w:pBdr>
                <w:bottom w:sz="12" w:space="1" w:color="auto" w:val="single"/>
              </w:pBdr>
              <w:rPr>
                <w:sz w:val="24"/>
                <w:rFonts w:ascii="Times New Roman" w:hAnsi="Times New Roman"/>
              </w:rPr>
            </w:pPr>
          </w:p>
          <w:p>
            <w:pPr>
              <w:pStyle w:val="a0"/>
              <w:jc w:val="center"/>
              <w:spacing w:after="0"/>
              <w:rPr>
                <w:sz w:val="24"/>
                <w:rFonts w:ascii="Times New Roman" w:hAnsi="Times New Roman"/>
              </w:rPr>
            </w:pPr>
            <w:r>
              <w:rPr>
                <w:sz w:val="24"/>
                <w:rFonts w:ascii="Times New Roman" w:hAnsi="Times New Roman"/>
              </w:rPr>
              <w:t>imzo</w:t>
            </w:r>
          </w:p>
        </w:tc>
        <w:tc>
          <w:tcPr>
            <w:tcW w:w="3191" w:type="dxa"/>
            <w:shd w:fill="auto"/>
          </w:tcPr>
          <w:p>
            <w:pPr>
              <w:pStyle w:val="a0"/>
              <w:jc w:val="right"/>
              <w:spacing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Iltimosnoma berilgan sana</w:t>
            </w:r>
            <w:r>
              <w:rPr>
                <w:vanish w:val="false"/>
                <w:sz w:val="24"/>
                <w:rFonts w:ascii="Times New Roman" w:hAnsi="Times New Roman"/>
              </w:rPr>
              <w:fldChar w:fldCharType="end"/>
            </w:r>
            <w:r>
              <w:rPr>
                <w:sz w:val="24"/>
                <w:rFonts w:ascii="Times New Roman" w:hAnsi="Times New Roman"/>
              </w:rPr>
              <w:t xml:space="preserve"> </w:t>
            </w:r>
          </w:p>
        </w:tc>
      </w:tr>
    </w:tbl>
    <w:p>
      <w:pPr>
        <w:spacing w:after="0"/>
        <w:rPr>
          <w:color w:val="000000"/>
          <w:sz w:val="24"/>
          <w:rFonts w:ascii="Times New Roman" w:hAnsi="Times New Roman"/>
        </w:rPr>
      </w:pPr>
    </w:p>
    <w:p>
      <w:pPr>
        <w:spacing w:after="0"/>
        <w:rPr>
          <w:color w:val="000000"/>
          <w:sz w:val="24"/>
          <w:rFonts w:ascii="Times New Roman" w:hAnsi="Times New Roman"/>
        </w:rPr>
      </w:pPr>
    </w:p>
    <w:p>
      <w:pPr>
        <w:spacing w:after="0"/>
        <w:rPr>
          <w:color w:val="000000"/>
          <w:sz w:val="24"/>
          <w:rFonts w:ascii="Times New Roman" w:hAnsi="Times New Roman"/>
        </w:rPr>
      </w:pPr>
    </w:p>
    <w:p>
      <w:pPr>
        <w:spacing w:after="0"/>
        <w:rPr>
          <w:color w:val="000000"/>
          <w:sz w:val="24"/>
          <w:rFonts w:ascii="Times New Roman" w:hAnsi="Times New Roman"/>
        </w:rPr>
      </w:pPr>
    </w:p>
    <w:p>
      <w:pPr>
        <w:spacing w:after="0"/>
        <w:rPr>
          <w:color w:val="000000"/>
          <w:sz w:val="24"/>
          <w:rFonts w:ascii="Times New Roman" w:hAnsi="Times New Roman"/>
        </w:rPr>
      </w:pPr>
    </w:p>
    <w:p>
      <w:pPr>
        <w:spacing w:after="0"/>
        <w:rPr>
          <w:color w:val="000000"/>
          <w:sz w:val="24"/>
          <w:rFonts w:ascii="Times New Roman" w:hAnsi="Times New Roman"/>
        </w:rPr>
      </w:pPr>
    </w:p>
    <w:p>
      <w:pPr>
        <w:spacing w:after="0"/>
        <w:rPr>
          <w:color w:val="000000"/>
          <w:sz w:val="24"/>
          <w:rFonts w:ascii="Times New Roman" w:hAnsi="Times New Roman"/>
        </w:rPr>
      </w:pPr>
    </w:p>
    <w:p>
      <w:pPr>
        <w:spacing w:after="0"/>
        <w:rPr>
          <w:color w:val="000000"/>
          <w:sz w:val="24"/>
          <w:rFonts w:ascii="Times New Roman" w:hAnsi="Times New Roman"/>
        </w:rPr>
      </w:pPr>
    </w:p>
    <w:p>
      <w:pPr>
        <w:spacing w:after="0"/>
        <w:rPr>
          <w:color w:val="000000"/>
          <w:sz w:val="24"/>
          <w:rFonts w:ascii="Times New Roman" w:hAnsi="Times New Roman"/>
        </w:rPr>
      </w:pPr>
    </w:p>
    <w:p>
      <w:pPr>
        <w:spacing w:after="0"/>
        <w:rPr>
          <w:color w:val="000000"/>
          <w:sz w:val="24"/>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133" w:rsidRDefault="00550133">
      <w:pPr>
        <w:spacing w:after="0" w:line="240" w:lineRule="auto"/>
      </w:pPr>
      <w:r>
        <w:separator/>
      </w:r>
    </w:p>
  </w:endnote>
  <w:endnote w:type="continuationSeparator" w:id="0">
    <w:p w:rsidR="00550133" w:rsidRDefault="0055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133" w:rsidRDefault="00550133">
      <w:pPr>
        <w:spacing w:after="0" w:line="240" w:lineRule="auto"/>
      </w:pPr>
      <w:r>
        <w:separator/>
      </w:r>
    </w:p>
  </w:footnote>
  <w:footnote w:type="continuationSeparator" w:id="0">
    <w:p w:rsidR="00550133" w:rsidRDefault="00550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7D4A5126"/>
    <w:multiLevelType w:val="hybridMultilevel"/>
    <w:tmpl w:val="C9845AD8"/>
    <w:lvl w:ilvl="0" w:tplc="1C0412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57D97"/>
    <w:rsid w:val="00070838"/>
    <w:rsid w:val="00087518"/>
    <w:rsid w:val="00097AA3"/>
    <w:rsid w:val="000D3150"/>
    <w:rsid w:val="00100470"/>
    <w:rsid w:val="00100DFE"/>
    <w:rsid w:val="00106D7D"/>
    <w:rsid w:val="00110EE3"/>
    <w:rsid w:val="0012785F"/>
    <w:rsid w:val="00141874"/>
    <w:rsid w:val="00182DFC"/>
    <w:rsid w:val="001B0930"/>
    <w:rsid w:val="002355AC"/>
    <w:rsid w:val="002479CF"/>
    <w:rsid w:val="002509AB"/>
    <w:rsid w:val="00271F89"/>
    <w:rsid w:val="0027664A"/>
    <w:rsid w:val="0029035A"/>
    <w:rsid w:val="002D3093"/>
    <w:rsid w:val="002D6B90"/>
    <w:rsid w:val="00312BB5"/>
    <w:rsid w:val="00340C52"/>
    <w:rsid w:val="003A69A8"/>
    <w:rsid w:val="003E2C3D"/>
    <w:rsid w:val="004400E9"/>
    <w:rsid w:val="00454C43"/>
    <w:rsid w:val="00455C97"/>
    <w:rsid w:val="004E592E"/>
    <w:rsid w:val="004F3DCF"/>
    <w:rsid w:val="004F54B1"/>
    <w:rsid w:val="005127B3"/>
    <w:rsid w:val="00523079"/>
    <w:rsid w:val="00527F7E"/>
    <w:rsid w:val="00550133"/>
    <w:rsid w:val="00573D5F"/>
    <w:rsid w:val="005A1748"/>
    <w:rsid w:val="005A7865"/>
    <w:rsid w:val="005B5529"/>
    <w:rsid w:val="005D16A8"/>
    <w:rsid w:val="005E04A7"/>
    <w:rsid w:val="005F1B44"/>
    <w:rsid w:val="00627ABD"/>
    <w:rsid w:val="0063313C"/>
    <w:rsid w:val="0063696E"/>
    <w:rsid w:val="006576BC"/>
    <w:rsid w:val="00680D9A"/>
    <w:rsid w:val="006A4F4F"/>
    <w:rsid w:val="0071098A"/>
    <w:rsid w:val="00715654"/>
    <w:rsid w:val="00724928"/>
    <w:rsid w:val="00740520"/>
    <w:rsid w:val="00782EE1"/>
    <w:rsid w:val="007B2732"/>
    <w:rsid w:val="007C55A9"/>
    <w:rsid w:val="007D64A3"/>
    <w:rsid w:val="007E3278"/>
    <w:rsid w:val="0087799D"/>
    <w:rsid w:val="008F27E5"/>
    <w:rsid w:val="00916B4F"/>
    <w:rsid w:val="00993714"/>
    <w:rsid w:val="009C0CD8"/>
    <w:rsid w:val="009C1BBE"/>
    <w:rsid w:val="009E3836"/>
    <w:rsid w:val="00A22B2D"/>
    <w:rsid w:val="00A27C33"/>
    <w:rsid w:val="00A633E3"/>
    <w:rsid w:val="00B01ED2"/>
    <w:rsid w:val="00B11900"/>
    <w:rsid w:val="00BD5959"/>
    <w:rsid w:val="00C047E0"/>
    <w:rsid w:val="00C417A9"/>
    <w:rsid w:val="00C46403"/>
    <w:rsid w:val="00C91039"/>
    <w:rsid w:val="00C931DA"/>
    <w:rsid w:val="00C97C06"/>
    <w:rsid w:val="00CA35CE"/>
    <w:rsid w:val="00CB0BA6"/>
    <w:rsid w:val="00CC1796"/>
    <w:rsid w:val="00CC4FAE"/>
    <w:rsid w:val="00CE2099"/>
    <w:rsid w:val="00D05289"/>
    <w:rsid w:val="00D0702B"/>
    <w:rsid w:val="00D1129B"/>
    <w:rsid w:val="00D42C38"/>
    <w:rsid w:val="00E11AC6"/>
    <w:rsid w:val="00E12CEF"/>
    <w:rsid w:val="00E322AD"/>
    <w:rsid w:val="00E43D1F"/>
    <w:rsid w:val="00E60A44"/>
    <w:rsid w:val="00E82E08"/>
    <w:rsid w:val="00EA52A9"/>
    <w:rsid w:val="00EA5BFB"/>
    <w:rsid w:val="00EB3666"/>
    <w:rsid w:val="00EF1B5D"/>
    <w:rsid w:val="00F50769"/>
    <w:rsid w:val="00F572D3"/>
    <w:rsid w:val="00F67D3B"/>
    <w:rsid w:val="00F95475"/>
    <w:rsid w:val="00FA320B"/>
    <w:rsid w:val="00FB3410"/>
    <w:rsid w:val="00FC26A5"/>
    <w:rsid w:val="00FF4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AB5CAB7C-C25F-4C41-8BE0-E2A83973C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916B4F"/>
    <w:rPr>
      <w:rFonts w:ascii="Calibri" w:eastAsia="Calibri" w:hAnsi="Calibri"/>
      <w:sz w:val="22"/>
      <w:szCs w:val="22"/>
      <w:lang w:eastAsia="zh-CN"/>
    </w:rPr>
  </w:style>
  <w:style w:type="paragraph" w:styleId="af0">
    <w:name w:val="List Paragraph"/>
    <w:basedOn w:val="a"/>
    <w:uiPriority w:val="34"/>
    <w:qFormat/>
    <w:rsid w:val="00916B4F"/>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2022-08-29T07:15:00Z</dcterms:created>
  <dcterms:modified xsi:type="dcterms:W3CDTF">2022-08-29T07:15:00Z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Iltimosnoma berilgan sana</w:name>
    <w:comment xml:space="preserve">(kun, oy, yil)</w:comment>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beruvchining manzili</w:name>
    <w:value w:hidden="false">
      <w:unit w:active="false"/>
    </w:value>
  </w:element>
  <w:element w:id="6" w:kind="variable" w:selector="check" w:type="string" w:valueMode="normal" w:required="false" w:groupID="4">
    <w:identifier xml:space="preserve">ID6</w:identifier>
    <w:name xml:space="preserve">Iltimosnoma beruvchi yuridik shaxs nomi yoki yakka tartibdagi tadbirkor (YATT)ning F.I.Osi</w:name>
    <w:comment xml:space="preserve">Masalan: “Nur” MJCH yoki YATT A.Aliyev</w:comment>
    <w:value w:hidden="false">
      <w:unit w:active="false"/>
    </w:value>
  </w:element>
  <w:element w:id="7" w:kind="variable" w:selector="check" w:type="string" w:valueMode="normal" w:required="false" w:groupID="4">
    <w:identifier xml:space="preserve">ID7</w:identifier>
    <w:name xml:space="preserve">Iltimosnoma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javogarning nomi va tashkiliy huquqiy shakli</w:name>
    <w:comment xml:space="preserve">Masalan: “Nur” MJCH yoki YATT A.Aliyev</w:comment>
    <w:value w:hidden="false">
      <w:unit w:active="false"/>
    </w:value>
  </w:element>
  <w:element w:id="10" w:kind="variable" w:selector="check" w:type="string" w:valueMode="normal" w:required="false" w:groupID="8">
    <w:identifier xml:space="preserve">ID10</w:identifier>
    <w:name xml:space="preserve">Daʼvo ariza mazmuni</w:name>
    <w:value w:hidden="false">
      <w:unit w:active="false"/>
    </w:value>
  </w:element>
  <w:element w:id="11" w:kind="variable" w:selector="check" w:type="string" w:valueMode="normal" w:required="false" w:groupID="8">
    <w:identifier xml:space="preserve">ID11</w:identifier>
    <w:name xml:space="preserve">Sud qarori qabul qilingan sana</w:name>
    <w:value w:hidden="false">
      <w:unit w:active="false"/>
    </w:value>
  </w:element>
  <w:element w:id="12" w:kind="variable" w:selector="check" w:type="string" w:valueMode="normal" w:required="false" w:groupID="8">
    <w:identifier xml:space="preserve">ID12</w:identifier>
    <w:name xml:space="preserve">Sud qarorining qisqacha mazmuni</w:name>
    <w:value w:hidden="false">
      <w:unit w:active="false"/>
    </w:value>
  </w:element>
</w:structure>
</file>