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65"/>
        <w:gridCol w:w="4790"/>
      </w:tblGrid>
      <w:tr>
        <w:tc>
          <w:tcPr>
            <w:tcW w:w="4691" w:type="dxa"/>
            <w:shd w:fill="auto"/>
          </w:tcPr>
          <w:p>
            <w:pPr>
              <w:spacing w:after="0"/>
              <w:rPr>
                <w:sz w:val="28"/>
                <w:rFonts w:ascii="Times New Roman" w:hAnsi="Times New Roman"/>
              </w:rPr>
            </w:pPr>
          </w:p>
        </w:tc>
        <w:tc>
          <w:tcPr>
            <w:tcW w:w="4880" w:type="dxa"/>
            <w:shd w:fill="auto"/>
          </w:tcPr>
          <w:p>
            <w:pPr>
              <w:jc w:val="both"/>
              <w:spacing w:after="0"/>
              <w:rPr>
                <w:b/>
                <w:sz w:val="28"/>
                <w:rFonts w:ascii="Times New Roman" w:hAnsi="Times New Roman"/>
              </w:rPr>
            </w:pP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Ariza berilgan sud nomi</w:t>
              <w:fldChar w:fldCharType="end"/>
            </w:r>
            <w:r>
              <w:rPr>
                <w:b/>
                <w:sz w:val="28"/>
                <w:rFonts w:ascii="Times New Roman" w:hAnsi="Times New Roman"/>
              </w:rPr>
              <w:t xml:space="preserve"> sudiga</w:t>
            </w:r>
          </w:p>
        </w:tc>
      </w:tr>
      <w:t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Ariza beruvchi yuridik shaxs nomi yoki yakka tartibdagi tadbirkor (YaTT)ning F.I.Osi</w:t>
              <w:fldChar w:fldCharType="end"/>
            </w:r>
            <w:r>
              <w:rPr>
                <w:sz w:val="28"/>
                <w:rFonts w:ascii="Times New Roman" w:hAnsi="Times New Roman"/>
              </w:rPr>
              <w:t>dan</w:t>
            </w:r>
          </w:p>
        </w:tc>
      </w:tr>
      <w:t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sz w:val="28"/>
                <w:rFonts w:ascii="Times New Roman" w:hAnsi="Times New Roman"/>
              </w:rPr>
              <w:t xml:space="preserve">Manzil: </w:t>
            </w:r>
            <w:r>
              <w:rPr>
                <w:vanish w:val="false"/>
                <w:sz w:val="28"/>
                <w:rFonts w:ascii="Times New Roman" w:hAnsi="Times New Roman"/>
              </w:rPr>
              <w:fldChar w:fldCharType="begin"/>
              <w:instrText xml:space="preserve">X {"Y":5}</w:instrText>
              <w:fldChar w:fldCharType="separate"/>
            </w:r>
            <w:r>
              <w:rPr>
                <w:vanish w:val="false"/>
                <w:sz w:val="28"/>
                <w:rFonts w:ascii="Times New Roman" w:hAnsi="Times New Roman"/>
              </w:rPr>
              <w:t xml:space="preserve">Ariza beruvchining manzili</w:t>
              <w:fldChar w:fldCharType="end"/>
            </w:r>
          </w:p>
        </w:tc>
      </w:tr>
    </w:tbl>
    <w:p>
      <w:pPr>
        <w:spacing w:after="0"/>
        <w:rPr>
          <w:sz w:val="28"/>
          <w:rFonts w:ascii="Times New Roman" w:hAnsi="Times New Roman"/>
        </w:rPr>
      </w:pPr>
    </w:p>
    <w:p>
      <w:pPr>
        <w:spacing w:after="0"/>
        <w:rPr>
          <w:sz w:val="28"/>
          <w:rFonts w:ascii="Times New Roman" w:hAnsi="Times New Roman"/>
        </w:rPr>
      </w:pPr>
    </w:p>
    <w:p>
      <w:pPr>
        <w:spacing w:after="0"/>
        <w:rPr>
          <w:sz w:val="28"/>
          <w:rFonts w:ascii="Times New Roman" w:hAnsi="Times New Roman"/>
        </w:rPr>
      </w:pPr>
    </w:p>
    <w:p>
      <w:pPr>
        <w:pStyle w:val="a0"/>
        <w:jc w:val="center"/>
        <w:spacing w:after="0"/>
        <w:rPr>
          <w:b/>
          <w:sz w:val="28"/>
          <w:rFonts w:ascii="Times New Roman" w:hAnsi="Times New Roman"/>
        </w:rPr>
      </w:pPr>
      <w:r>
        <w:rPr>
          <w:b/>
          <w:sz w:val="28"/>
          <w:rFonts w:ascii="Times New Roman" w:hAnsi="Times New Roman"/>
        </w:rPr>
        <w:t xml:space="preserve">A R I Z A</w:t>
      </w:r>
    </w:p>
    <w:p>
      <w:pPr>
        <w:jc w:val="center"/>
        <w:spacing w:after="0"/>
        <w:rPr>
          <w:color w:val="000000"/>
          <w:sz w:val="28"/>
          <w:rFonts w:ascii="Times New Roman" w:hAnsi="Times New Roman"/>
        </w:rPr>
      </w:pPr>
      <w:r>
        <w:rPr>
          <w:color w:val="000000"/>
          <w:sz w:val="28"/>
          <w:rFonts w:ascii="Times New Roman" w:hAnsi="Times New Roman"/>
        </w:rPr>
        <w:t xml:space="preserve">Ijro varaqasini ijroga taqdim etish muddatini tiklash to‘g‘risida  </w:t>
      </w:r>
    </w:p>
    <w:p>
      <w:pPr>
        <w:pStyle w:val="a0"/>
        <w:jc w:val="both"/>
        <w:ind w:firstLine="900"/>
        <w:spacing w:after="0"/>
        <w:rPr>
          <w:sz w:val="28"/>
          <w:rFonts w:ascii="Times New Roman" w:hAnsi="Times New Roman"/>
        </w:rPr>
      </w:pPr>
    </w:p>
    <w:p>
      <w:pPr>
        <w:pStyle w:val="a0"/>
        <w:jc w:val="both"/>
        <w:ind w:firstLine="900"/>
        <w:spacing w:after="0"/>
        <w:rPr>
          <w:color w:val="000000"/>
          <w:sz w:val="28"/>
          <w:rFonts w:ascii="Times New Roman" w:hAnsi="Times New Roman"/>
        </w:rPr>
      </w:pP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Ijro varaqasi berish uchun asos bo‘lgan sud qarorini qabul qilgan sud nomi</w:t>
        <w:fldChar w:fldCharType="end"/>
      </w:r>
      <w:r>
        <w:rPr>
          <w:sz w:val="28"/>
          <w:rFonts w:ascii="Times New Roman" w:hAnsi="Times New Roman"/>
        </w:rPr>
        <w:t xml:space="preserve"> sudining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Ijro varaqasi berilgan ish bo‘yicha hal qiluv qarori qabul qilingan sana</w:t>
        <w:fldChar w:fldCharType="end"/>
      </w:r>
      <w:r>
        <w:rPr>
          <w:color w:val="000000"/>
          <w:sz w:val="28"/>
          <w:rFonts w:ascii="Times New Roman" w:hAnsi="Times New Roman"/>
        </w:rPr>
        <w:t xml:space="preserve"> kunidagi hal qiluv qarori bilan </w:t>
      </w:r>
      <w:r>
        <w:rPr>
          <w:sz w:val="28"/>
          <w:rFonts w:ascii="Times New Roman" w:hAnsi="Times New Roman"/>
        </w:rPr>
        <w:t xml:space="preserve">da’vogar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Ijro varaqasi berilgan ish bo‘yicha da’vogar</w:t>
        <w:fldChar w:fldCharType="end"/>
      </w:r>
      <w:r>
        <w:rPr>
          <w:sz w:val="28"/>
          <w:rFonts w:ascii="Times New Roman" w:hAnsi="Times New Roman"/>
        </w:rPr>
        <w:t xml:space="preserve">ning javobgar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Ijro varaqasi berilgan ish bo‘yicha javogar</w:t>
        <w:fldChar w:fldCharType="end"/>
      </w:r>
      <w:r>
        <w:rPr>
          <w:sz w:val="28"/>
          <w:rFonts w:ascii="Times New Roman" w:hAnsi="Times New Roman"/>
        </w:rPr>
        <w:t xml:space="preserve">ga nisbatan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Ijro varaqasi berilgan ish bo‘yicha da’vo ariza mazmuni</w:t>
        <w:fldChar w:fldCharType="end"/>
      </w:r>
      <w:r>
        <w:rPr>
          <w:sz w:val="28"/>
          <w:rFonts w:ascii="Times New Roman" w:hAnsi="Times New Roman"/>
        </w:rPr>
        <w:t xml:space="preserve"> to‘g‘risidagi da’vo arizasi qanoatlantirilgan. Ushbu hal qiluv qaroriga asosan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Hal qiluv qaroriga asosan ijro varaqasi berilgan sana </w:t>
        <w:fldChar w:fldCharType="end"/>
      </w:r>
      <w:r>
        <w:rPr>
          <w:color w:val="000000"/>
          <w:sz w:val="28"/>
          <w:rFonts w:ascii="Times New Roman" w:hAnsi="Times New Roman"/>
        </w:rPr>
        <w:t xml:space="preserve"> kuni ijro varaqasi chiqarilgan. Biroq </w:t>
      </w: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Arizachi ijro varaqasini o‘z vaqtida ijroga topshirolmaganligining sabablari</w:t>
        <w:fldChar w:fldCharType="end"/>
      </w:r>
      <w:r>
        <w:rPr>
          <w:color w:val="000000"/>
          <w:sz w:val="28"/>
          <w:rFonts w:ascii="Times New Roman" w:hAnsi="Times New Roman"/>
        </w:rPr>
        <w:t xml:space="preserve"> sababli ushbu ijro varaqasini hozirga qadar MIB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Ijro varaqasi taqdim etilishi nazarda tutilgan MIB bo‘limi nomi </w:t>
        <w:fldChar w:fldCharType="end"/>
      </w:r>
      <w:r>
        <w:rPr>
          <w:color w:val="000000"/>
          <w:sz w:val="28"/>
          <w:rFonts w:ascii="Times New Roman" w:hAnsi="Times New Roman"/>
        </w:rPr>
        <w:t xml:space="preserve"> bo‘limiga topshirolmadim. </w:t>
      </w:r>
    </w:p>
    <w:p>
      <w:pPr>
        <w:jc w:val="both"/>
        <w:ind w:firstLine="851"/>
        <w:spacing w:after="0"/>
        <w:rPr>
          <w:sz w:val="28"/>
          <w:rFonts w:ascii="Times New Roman" w:hAnsi="Times New Roman"/>
        </w:rPr>
      </w:pPr>
      <w:r>
        <w:rPr>
          <w:sz w:val="28"/>
          <w:rFonts w:ascii="Times New Roman" w:hAnsi="Times New Roman"/>
        </w:rPr>
        <w:t xml:space="preserve">O‘zbekiston Respublikasining “Sud hujjatlari va boshqa organlar hujjatlarini ijro etish to‘g‘risida”gi Qonunining 29-moddasiga ko‘ra, </w:t>
      </w:r>
      <w:r>
        <w:rPr>
          <w:color w:val="000000"/>
          <w:sz w:val="28"/>
          <w:rFonts w:ascii="Times New Roman" w:hAnsi="Times New Roman"/>
        </w:rPr>
        <w:t xml:space="preserve">ijroga topshirish muddati o‘tkazib yuborilgan ijro hujjatini davlat ijrochisi ish yuritish uchun qabul qilmasdan, bu haqda tegishli qaror chiqaradi. Ijro varaqasi yoki sud buyrug‘ini ijroga topshirish muddatini o‘tkazib yuborgan undiruvchi tegishli hujjatni qabul qilgan sudga yoki bu hujjat ijro etiladigan joydagi sudga o‘tkazib yuborilgan muddatni tiklash to‘g‘risidagi ariza bilan murojaat qilishga haqlidir. </w:t>
      </w:r>
    </w:p>
    <w:p>
      <w:pPr>
        <w:jc w:val="both"/>
        <w:ind w:firstLine="851"/>
        <w:spacing w:after="0"/>
        <w:rPr>
          <w:color w:val="000000"/>
          <w:sz w:val="28"/>
          <w:rFonts w:ascii="Times New Roman" w:hAnsi="Times New Roman"/>
        </w:rPr>
      </w:pPr>
      <w:r>
        <w:rPr>
          <w:color w:val="000000"/>
          <w:sz w:val="28"/>
          <w:rFonts w:ascii="Times New Roman" w:hAnsi="Times New Roman"/>
        </w:rPr>
        <w:t xml:space="preserve">Yuqoridagilardan kelib chiqib, O‘zbekiston Respublikasi </w:t>
      </w:r>
      <w:r>
        <w:rPr>
          <w:sz w:val="28"/>
          <w:rFonts w:ascii="Times New Roman" w:hAnsi="Times New Roman"/>
        </w:rPr>
        <w:t xml:space="preserve">“Sud hujjatlari va boshqa organlar hujjatlarini ijro etish to‘g‘risida” gi Qonuni</w:t>
      </w:r>
      <w:r>
        <w:rPr>
          <w:color w:val="000000"/>
          <w:sz w:val="28"/>
          <w:rFonts w:ascii="Times New Roman" w:hAnsi="Times New Roman"/>
        </w:rPr>
        <w:t xml:space="preserve">ning 28-30-moddalariga asoslanib,</w:t>
      </w:r>
    </w:p>
    <w:p>
      <w:pPr>
        <w:jc w:val="both"/>
        <w:ind w:firstLine="709"/>
        <w:spacing w:after="0"/>
        <w:rPr>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SO‘RAYMAN:</w:t>
      </w:r>
    </w:p>
    <w:p>
      <w:pPr>
        <w:jc w:val="center"/>
        <w:spacing w:after="0"/>
        <w:rPr>
          <w:color w:val="000000"/>
          <w:sz w:val="28"/>
          <w:rFonts w:ascii="Times New Roman" w:hAnsi="Times New Roman"/>
        </w:rPr>
      </w:pPr>
    </w:p>
    <w:p>
      <w:pPr>
        <w:jc w:val="both"/>
        <w:ind w:firstLine="851"/>
        <w:spacing w:after="0"/>
        <w:rPr>
          <w:color w:val="000000"/>
          <w:sz w:val="28"/>
          <w:rFonts w:ascii="Times New Roman" w:hAnsi="Times New Roman"/>
        </w:rPr>
      </w:pP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Ijro varaqasi berish uchun asos bo‘lgan sud qarorini qabul qilgan sud nomi</w:t>
        <w:fldChar w:fldCharType="end"/>
      </w:r>
      <w:r>
        <w:rPr>
          <w:sz w:val="28"/>
          <w:rFonts w:ascii="Times New Roman" w:hAnsi="Times New Roman"/>
        </w:rPr>
        <w:t xml:space="preserve"> sudining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Ijro varaqasi berilgan ish bo‘yicha hal qiluv qarori qabul qilingan sana</w:t>
        <w:fldChar w:fldCharType="end"/>
      </w:r>
      <w:r>
        <w:rPr>
          <w:color w:val="000000"/>
          <w:sz w:val="28"/>
          <w:rFonts w:ascii="Times New Roman" w:hAnsi="Times New Roman"/>
        </w:rPr>
        <w:t xml:space="preserve"> kunidagi hal qiluv qarori bo‘yicha ijro varaqasini ijroga taqdim etish muddatini tiklashingizni. </w:t>
      </w:r>
    </w:p>
    <w:p>
      <w:pPr>
        <w:jc w:val="both"/>
        <w:ind w:firstLine="708"/>
        <w:spacing w:after="0"/>
        <w:rPr>
          <w:color w:val="000000"/>
          <w:sz w:val="28"/>
          <w:rFonts w:ascii="Times New Roman" w:hAnsi="Times New Roman"/>
        </w:rPr>
      </w:pPr>
    </w:p>
    <w:p>
      <w:pPr>
        <w:pStyle w:val="a0"/>
        <w:jc w:val="both"/>
        <w:ind w:firstLine="900"/>
        <w:spacing w:after="0"/>
        <w:rPr>
          <w:sz w:val="28"/>
          <w:rFonts w:ascii="Times New Roman" w:hAnsi="Times New Roman"/>
        </w:rPr>
      </w:pPr>
      <w:r>
        <w:rPr>
          <w:sz w:val="28"/>
          <w:rFonts w:ascii="Times New Roman" w:hAnsi="Times New Roman"/>
        </w:rPr>
        <w:t xml:space="preserve">Arizaga ilova qilinayotgan hujjatlar:</w:t>
      </w:r>
    </w:p>
    <w:p>
      <w:pPr>
        <w:pStyle w:val="a0"/>
        <w:jc w:val="both"/>
        <w:ind w:firstLine="900"/>
        <w:spacing w:after="0"/>
        <w:rPr>
          <w:sz w:val="28"/>
          <w:rFonts w:ascii="Times New Roman" w:hAnsi="Times New Roman"/>
        </w:rPr>
      </w:pP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Arizaga ilova qilinayotgan hujjatlar nomi</w:t>
        <w:fldChar w:fldCharType="end"/>
      </w:r>
    </w:p>
    <w:p>
      <w:pPr>
        <w:pStyle w:val="a0"/>
        <w:jc w:val="both"/>
        <w:spacing w:after="0"/>
        <w:rPr>
          <w:sz w:val="28"/>
          <w:rFonts w:ascii="Times New Roman" w:hAnsi="Times New Roman"/>
        </w:rPr>
      </w:pPr>
      <w:r>
        <w:rPr>
          <w:sz w:val="28"/>
          <w:rFonts w:ascii="Times New Roman" w:hAnsi="Times New Roman"/>
        </w:rPr>
        <w:tab/>
      </w:r>
    </w:p>
    <w:p>
      <w:pPr>
        <w:pStyle w:val="a0"/>
        <w:jc w:val="both"/>
        <w:spacing w:after="0"/>
        <w:rPr>
          <w:sz w:val="28"/>
          <w:rFonts w:ascii="Times New Roman" w:hAnsi="Times New Roman"/>
        </w:rPr>
      </w:pPr>
    </w:p>
    <w:tbl>
      <w:tblPr>
        <w:tblW w:w="0" w:type="auto"/>
      </w:tblPr>
      <w:tblGrid>
        <w:gridCol w:w="3137"/>
        <w:gridCol w:w="3094"/>
        <w:gridCol w:w="3124"/>
      </w:tblGrid>
      <w:tr>
        <w:tc>
          <w:tcPr>
            <w:tcW w:w="3190" w:type="dxa"/>
            <w:shd w:fill="auto"/>
          </w:tcPr>
          <w:p>
            <w:pPr>
              <w:pStyle w:val="a0"/>
              <w:jc w:val="both"/>
              <w:spacing w:after="0"/>
              <w:rPr>
                <w:sz w:val="28"/>
                <w:rFonts w:ascii="Times New Roman" w:hAnsi="Times New Roman"/>
              </w:rPr>
            </w:pP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Ariza beruvchi yuridik shaxs rahbarining yoki yakka tartibdagi tadbirkor (YaTT)ning F.I.Osi</w:t>
              <w:fldChar w:fldCharType="end"/>
            </w:r>
          </w:p>
          <w:p>
            <w:pPr>
              <w:pStyle w:val="a0"/>
              <w:jc w:val="both"/>
              <w:spacing w:after="0"/>
              <w:rPr>
                <w:sz w:val="28"/>
                <w:rFonts w:ascii="Times New Roman" w:hAnsi="Times New Roman"/>
              </w:rPr>
            </w:pPr>
          </w:p>
        </w:tc>
        <w:tc>
          <w:tcPr>
            <w:tcW w:w="3190" w:type="dxa"/>
            <w:shd w:fill="auto"/>
          </w:tcPr>
          <w:p>
            <w:pPr>
              <w:pStyle w:val="a0"/>
              <w:spacing w:after="0"/>
              <w:pBdr>
                <w:bottom w:sz="12" w:space="1" w:color="auto" w:val="single"/>
              </w:pBdr>
              <w:rPr>
                <w:sz w:val="28"/>
                <w:rFonts w:ascii="Times New Roman" w:hAnsi="Times New Roman"/>
              </w:rPr>
            </w:pPr>
          </w:p>
          <w:p>
            <w:pPr>
              <w:pStyle w:val="a0"/>
              <w:jc w:val="center"/>
              <w:spacing w:after="0"/>
              <w:rPr>
                <w:sz w:val="28"/>
                <w:rFonts w:ascii="Times New Roman" w:hAnsi="Times New Roman"/>
              </w:rPr>
            </w:pPr>
          </w:p>
        </w:tc>
        <w:tc>
          <w:tcPr>
            <w:tcW w:w="3191" w:type="dxa"/>
            <w:shd w:fill="auto"/>
          </w:tcPr>
          <w:p>
            <w:pPr>
              <w:pStyle w:val="a0"/>
              <w:jc w:val="right"/>
              <w:spacing w:after="0"/>
              <w:rPr>
                <w:sz w:val="28"/>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Ariza berilgan sana</w:t>
              <w:fldChar w:fldCharType="end"/>
            </w:r>
            <w:r>
              <w:rPr>
                <w:sz w:val="28"/>
                <w:rFonts w:ascii="Times New Roman" w:hAnsi="Times New Roman"/>
              </w:rPr>
              <w:t xml:space="preserve"> yil</w:t>
            </w:r>
          </w:p>
        </w:tc>
      </w:tr>
    </w:tbl>
    <w:p>
      <w:pPr>
        <w:jc w:val="both"/>
        <w:spacing w:after="0"/>
        <w:rPr>
          <w:b/>
          <w:sz w:val="28"/>
          <w:rFonts w:ascii="Times New Roman" w:hAnsi="Times New Roman"/>
        </w:rPr>
      </w:pPr>
    </w:p>
    <w:sectPr>
      <w:pgSz w:w="11906" w:h="16838"/>
      <w:pgMar w:left="1701" w:right="850" w:top="1134" w:bottom="1134" w:header="720"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1E74" w:rsidRDefault="00651E74">
      <w:pPr>
        <w:spacing w:after="0" w:line="240" w:lineRule="auto"/>
      </w:pPr>
      <w:r>
        <w:separator/>
      </w:r>
    </w:p>
  </w:endnote>
  <w:endnote w:type="continuationSeparator" w:id="0">
    <w:p w:rsidR="00651E74" w:rsidRDefault="00651E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1E74" w:rsidRDefault="00651E74">
      <w:pPr>
        <w:spacing w:after="0" w:line="240" w:lineRule="auto"/>
      </w:pPr>
      <w:r>
        <w:separator/>
      </w:r>
    </w:p>
  </w:footnote>
  <w:footnote w:type="continuationSeparator" w:id="0">
    <w:p w:rsidR="00651E74" w:rsidRDefault="00651E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3" w15:restartNumberingAfterBreak="0">
    <w:nsid w:val="32F475B9"/>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4282209"/>
    <w:multiLevelType w:val="multilevel"/>
    <w:tmpl w:val="BEAA376E"/>
    <w:name w:val="WW8Num2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67C94D58"/>
    <w:multiLevelType w:val="hybridMultilevel"/>
    <w:tmpl w:val="C3460DC8"/>
    <w:lvl w:ilvl="0" w:tplc="1E2A85BA">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1"/>
  </w:num>
  <w:num w:numId="3">
    <w:abstractNumId w:val="2"/>
  </w:num>
  <w:num w:numId="4">
    <w:abstractNumId w:val="5"/>
  </w:num>
  <w:num w:numId="5">
    <w:abstractNumId w:val="6"/>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900"/>
    <w:rsid w:val="000339A7"/>
    <w:rsid w:val="00062AB8"/>
    <w:rsid w:val="00073AAE"/>
    <w:rsid w:val="00080F5B"/>
    <w:rsid w:val="00085733"/>
    <w:rsid w:val="00097AA3"/>
    <w:rsid w:val="000D256D"/>
    <w:rsid w:val="000D3150"/>
    <w:rsid w:val="00105095"/>
    <w:rsid w:val="00110EE3"/>
    <w:rsid w:val="0012785F"/>
    <w:rsid w:val="00141874"/>
    <w:rsid w:val="00176576"/>
    <w:rsid w:val="00182DFC"/>
    <w:rsid w:val="001909EE"/>
    <w:rsid w:val="001B2C50"/>
    <w:rsid w:val="00210977"/>
    <w:rsid w:val="002177E8"/>
    <w:rsid w:val="00231DD9"/>
    <w:rsid w:val="00234F01"/>
    <w:rsid w:val="002355AC"/>
    <w:rsid w:val="00244854"/>
    <w:rsid w:val="002479CF"/>
    <w:rsid w:val="002509AB"/>
    <w:rsid w:val="00251D5D"/>
    <w:rsid w:val="00263196"/>
    <w:rsid w:val="00271F89"/>
    <w:rsid w:val="0029035A"/>
    <w:rsid w:val="002C1981"/>
    <w:rsid w:val="002D188D"/>
    <w:rsid w:val="002D3093"/>
    <w:rsid w:val="002D6B90"/>
    <w:rsid w:val="00306E93"/>
    <w:rsid w:val="00330EB8"/>
    <w:rsid w:val="00340C52"/>
    <w:rsid w:val="0037094A"/>
    <w:rsid w:val="00370B7D"/>
    <w:rsid w:val="00376012"/>
    <w:rsid w:val="003A346B"/>
    <w:rsid w:val="003A69A8"/>
    <w:rsid w:val="003C1B69"/>
    <w:rsid w:val="003E2C3D"/>
    <w:rsid w:val="00402D1E"/>
    <w:rsid w:val="00455C97"/>
    <w:rsid w:val="0046575E"/>
    <w:rsid w:val="004E1A33"/>
    <w:rsid w:val="004E592E"/>
    <w:rsid w:val="004F54B1"/>
    <w:rsid w:val="004F6B4A"/>
    <w:rsid w:val="00512751"/>
    <w:rsid w:val="00523079"/>
    <w:rsid w:val="00535FD6"/>
    <w:rsid w:val="005612E2"/>
    <w:rsid w:val="00561613"/>
    <w:rsid w:val="00563F55"/>
    <w:rsid w:val="00573D5F"/>
    <w:rsid w:val="0059118D"/>
    <w:rsid w:val="005A1748"/>
    <w:rsid w:val="005A1ABC"/>
    <w:rsid w:val="005A5BA2"/>
    <w:rsid w:val="005A7865"/>
    <w:rsid w:val="005B0530"/>
    <w:rsid w:val="005B489B"/>
    <w:rsid w:val="005B5529"/>
    <w:rsid w:val="005F1B44"/>
    <w:rsid w:val="005F59F4"/>
    <w:rsid w:val="00600F44"/>
    <w:rsid w:val="0060211F"/>
    <w:rsid w:val="00614F9F"/>
    <w:rsid w:val="00627ABD"/>
    <w:rsid w:val="0063313C"/>
    <w:rsid w:val="0063696E"/>
    <w:rsid w:val="00640624"/>
    <w:rsid w:val="0064247D"/>
    <w:rsid w:val="00651E74"/>
    <w:rsid w:val="006576BC"/>
    <w:rsid w:val="00680D9A"/>
    <w:rsid w:val="00683576"/>
    <w:rsid w:val="006A4F4F"/>
    <w:rsid w:val="006C2642"/>
    <w:rsid w:val="006D4EEB"/>
    <w:rsid w:val="006F27D6"/>
    <w:rsid w:val="00701492"/>
    <w:rsid w:val="0071098A"/>
    <w:rsid w:val="00715654"/>
    <w:rsid w:val="00716F2C"/>
    <w:rsid w:val="00740520"/>
    <w:rsid w:val="00747D19"/>
    <w:rsid w:val="00761CF0"/>
    <w:rsid w:val="00764A92"/>
    <w:rsid w:val="00771865"/>
    <w:rsid w:val="007737D8"/>
    <w:rsid w:val="0078722E"/>
    <w:rsid w:val="00796447"/>
    <w:rsid w:val="007B2732"/>
    <w:rsid w:val="007E01A9"/>
    <w:rsid w:val="007E3278"/>
    <w:rsid w:val="0081781A"/>
    <w:rsid w:val="008300B7"/>
    <w:rsid w:val="00866367"/>
    <w:rsid w:val="0087799D"/>
    <w:rsid w:val="008B0EBF"/>
    <w:rsid w:val="008B18A4"/>
    <w:rsid w:val="008B523A"/>
    <w:rsid w:val="008C1703"/>
    <w:rsid w:val="00912CB7"/>
    <w:rsid w:val="0091722F"/>
    <w:rsid w:val="00927701"/>
    <w:rsid w:val="00956E4B"/>
    <w:rsid w:val="00966404"/>
    <w:rsid w:val="0098516C"/>
    <w:rsid w:val="00992212"/>
    <w:rsid w:val="00994406"/>
    <w:rsid w:val="0099525D"/>
    <w:rsid w:val="009C0CD8"/>
    <w:rsid w:val="009C1BBE"/>
    <w:rsid w:val="009C773A"/>
    <w:rsid w:val="009D0C0F"/>
    <w:rsid w:val="00A23546"/>
    <w:rsid w:val="00A24ED1"/>
    <w:rsid w:val="00A44BA9"/>
    <w:rsid w:val="00A638A9"/>
    <w:rsid w:val="00A8356B"/>
    <w:rsid w:val="00A90390"/>
    <w:rsid w:val="00A941DD"/>
    <w:rsid w:val="00AB14AD"/>
    <w:rsid w:val="00AB6776"/>
    <w:rsid w:val="00AD1940"/>
    <w:rsid w:val="00AF5778"/>
    <w:rsid w:val="00B01ED2"/>
    <w:rsid w:val="00B11900"/>
    <w:rsid w:val="00B3613A"/>
    <w:rsid w:val="00B60B34"/>
    <w:rsid w:val="00B63212"/>
    <w:rsid w:val="00B670FF"/>
    <w:rsid w:val="00BD0E2F"/>
    <w:rsid w:val="00BD5959"/>
    <w:rsid w:val="00BE502C"/>
    <w:rsid w:val="00C340A3"/>
    <w:rsid w:val="00C44336"/>
    <w:rsid w:val="00C7167F"/>
    <w:rsid w:val="00C87441"/>
    <w:rsid w:val="00C91039"/>
    <w:rsid w:val="00CA2AB5"/>
    <w:rsid w:val="00CB0BA6"/>
    <w:rsid w:val="00CB5411"/>
    <w:rsid w:val="00CC1796"/>
    <w:rsid w:val="00CC1EE5"/>
    <w:rsid w:val="00CC4FAE"/>
    <w:rsid w:val="00CE1259"/>
    <w:rsid w:val="00CE2099"/>
    <w:rsid w:val="00CF040A"/>
    <w:rsid w:val="00CF2571"/>
    <w:rsid w:val="00D01DE6"/>
    <w:rsid w:val="00D05289"/>
    <w:rsid w:val="00D0702B"/>
    <w:rsid w:val="00D1129B"/>
    <w:rsid w:val="00D42C38"/>
    <w:rsid w:val="00D66750"/>
    <w:rsid w:val="00DB7409"/>
    <w:rsid w:val="00E11AC6"/>
    <w:rsid w:val="00E12CEF"/>
    <w:rsid w:val="00E31625"/>
    <w:rsid w:val="00E360D4"/>
    <w:rsid w:val="00E43D1F"/>
    <w:rsid w:val="00E77528"/>
    <w:rsid w:val="00E80685"/>
    <w:rsid w:val="00E82E08"/>
    <w:rsid w:val="00E8754B"/>
    <w:rsid w:val="00EA4D4E"/>
    <w:rsid w:val="00EA52A9"/>
    <w:rsid w:val="00EA5BFB"/>
    <w:rsid w:val="00EB3666"/>
    <w:rsid w:val="00EE6E5D"/>
    <w:rsid w:val="00EF166F"/>
    <w:rsid w:val="00EF1B5D"/>
    <w:rsid w:val="00F00D47"/>
    <w:rsid w:val="00F11D17"/>
    <w:rsid w:val="00F22F8E"/>
    <w:rsid w:val="00F3163A"/>
    <w:rsid w:val="00F50358"/>
    <w:rsid w:val="00F50769"/>
    <w:rsid w:val="00F572D3"/>
    <w:rsid w:val="00F67D3B"/>
    <w:rsid w:val="00F72FE8"/>
    <w:rsid w:val="00F95475"/>
    <w:rsid w:val="00FA320B"/>
    <w:rsid w:val="00FA3906"/>
    <w:rsid w:val="00FA6E7B"/>
    <w:rsid w:val="00FB3410"/>
    <w:rsid w:val="00FC26A5"/>
    <w:rsid w:val="00FF1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F51779C"/>
  <w15:chartTrackingRefBased/>
  <w15:docId w15:val="{D80D9009-8AB5-4071-B4CE-E527020E6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line="276" w:lineRule="auto"/>
    </w:pPr>
    <w:rPr>
      <w:rFonts w:ascii="Calibri" w:eastAsia="Calibri" w:hAnsi="Calibri"/>
      <w:sz w:val="22"/>
      <w:szCs w:val="22"/>
      <w:lang w:eastAsia="zh-CN"/>
    </w:rPr>
  </w:style>
  <w:style w:type="paragraph" w:styleId="2">
    <w:name w:val="heading 2"/>
    <w:basedOn w:val="a"/>
    <w:next w:val="a0"/>
    <w:qFormat/>
    <w:pPr>
      <w:tabs>
        <w:tab w:val="num" w:pos="576"/>
      </w:tabs>
      <w:spacing w:before="280" w:after="280" w:line="240" w:lineRule="auto"/>
      <w:ind w:left="576" w:hanging="576"/>
      <w:outlineLvl w:val="1"/>
    </w:pPr>
    <w:rPr>
      <w:rFonts w:ascii="Times New Roman" w:eastAsia="Times New Roman" w:hAnsi="Times New Roman"/>
      <w:b/>
      <w:bCs/>
      <w:sz w:val="36"/>
      <w:szCs w:val="36"/>
    </w:rPr>
  </w:style>
  <w:style w:type="paragraph" w:styleId="3">
    <w:name w:val="heading 3"/>
    <w:basedOn w:val="a"/>
    <w:next w:val="a0"/>
    <w:qFormat/>
    <w:pPr>
      <w:tabs>
        <w:tab w:val="num" w:pos="720"/>
      </w:tabs>
      <w:spacing w:before="280" w:after="280" w:line="240" w:lineRule="auto"/>
      <w:ind w:left="720" w:hanging="720"/>
      <w:outlineLvl w:val="2"/>
    </w:pPr>
    <w:rPr>
      <w:rFonts w:ascii="Times New Roman" w:eastAsia="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сновной шрифт абзаца1"/>
  </w:style>
  <w:style w:type="character" w:customStyle="1" w:styleId="30">
    <w:name w:val="Знак Знак3"/>
    <w:rPr>
      <w:rFonts w:ascii="Times New Roman" w:eastAsia="Times New Roman" w:hAnsi="Times New Roman" w:cs="Times New Roman"/>
      <w:b/>
      <w:bCs/>
      <w:sz w:val="36"/>
      <w:szCs w:val="36"/>
    </w:rPr>
  </w:style>
  <w:style w:type="character" w:styleId="a4">
    <w:name w:val="Strong"/>
    <w:qFormat/>
    <w:rPr>
      <w:b/>
      <w:bCs/>
    </w:rPr>
  </w:style>
  <w:style w:type="character" w:customStyle="1" w:styleId="20">
    <w:name w:val="Знак Знак2"/>
    <w:rPr>
      <w:rFonts w:ascii="Times New Roman" w:eastAsia="Times New Roman" w:hAnsi="Times New Roman" w:cs="Times New Roman"/>
      <w:b/>
      <w:bCs/>
      <w:sz w:val="27"/>
      <w:szCs w:val="27"/>
    </w:rPr>
  </w:style>
  <w:style w:type="character" w:customStyle="1" w:styleId="apple-converted-space">
    <w:name w:val="apple-converted-space"/>
    <w:basedOn w:val="1"/>
  </w:style>
  <w:style w:type="character" w:customStyle="1" w:styleId="10">
    <w:name w:val="Знак Знак1"/>
    <w:basedOn w:val="1"/>
  </w:style>
  <w:style w:type="character" w:customStyle="1" w:styleId="a5">
    <w:name w:val="Знак Знак"/>
    <w:basedOn w:val="1"/>
  </w:style>
  <w:style w:type="character" w:styleId="a6">
    <w:name w:val="Hyperlink"/>
    <w:rPr>
      <w:color w:val="0000FF"/>
      <w:u w:val="single"/>
    </w:rPr>
  </w:style>
  <w:style w:type="character" w:styleId="a7">
    <w:name w:val="FollowedHyperlink"/>
    <w:rPr>
      <w:color w:val="800080"/>
      <w:u w:val="single"/>
    </w:rPr>
  </w:style>
  <w:style w:type="paragraph" w:styleId="a8">
    <w:name w:val="Title"/>
    <w:basedOn w:val="a"/>
    <w:next w:val="a0"/>
    <w:pPr>
      <w:keepNext/>
      <w:spacing w:before="240" w:after="120"/>
    </w:pPr>
    <w:rPr>
      <w:rFonts w:ascii="Arial" w:eastAsia="Microsoft YaHei" w:hAnsi="Arial" w:cs="Mangal"/>
      <w:sz w:val="28"/>
      <w:szCs w:val="28"/>
    </w:rPr>
  </w:style>
  <w:style w:type="paragraph" w:styleId="a0">
    <w:name w:val="Body Text"/>
    <w:basedOn w:val="a"/>
    <w:pPr>
      <w:spacing w:after="120"/>
    </w:pPr>
  </w:style>
  <w:style w:type="paragraph" w:styleId="a9">
    <w:name w:val="List"/>
    <w:basedOn w:val="a0"/>
    <w:rPr>
      <w:rFonts w:cs="Mangal"/>
    </w:rPr>
  </w:style>
  <w:style w:type="paragraph" w:styleId="aa">
    <w:name w:val="caption"/>
    <w:basedOn w:val="a"/>
    <w:qFormat/>
    <w:pPr>
      <w:suppressLineNumbers/>
      <w:spacing w:before="120" w:after="120"/>
    </w:pPr>
    <w:rPr>
      <w:rFonts w:cs="Mangal"/>
      <w:i/>
      <w:iCs/>
      <w:sz w:val="24"/>
      <w:szCs w:val="24"/>
    </w:rPr>
  </w:style>
  <w:style w:type="paragraph" w:customStyle="1" w:styleId="11">
    <w:name w:val="Указатель1"/>
    <w:basedOn w:val="a"/>
    <w:pPr>
      <w:suppressLineNumbers/>
    </w:pPr>
    <w:rPr>
      <w:rFonts w:cs="Mangal"/>
    </w:rPr>
  </w:style>
  <w:style w:type="paragraph" w:styleId="ab">
    <w:name w:val="Normal (Web)"/>
    <w:basedOn w:val="a"/>
    <w:pPr>
      <w:spacing w:before="280" w:after="280" w:line="240" w:lineRule="auto"/>
    </w:pPr>
    <w:rPr>
      <w:rFonts w:ascii="Times New Roman" w:eastAsia="Times New Roman" w:hAnsi="Times New Roman"/>
      <w:sz w:val="24"/>
      <w:szCs w:val="24"/>
    </w:rPr>
  </w:style>
  <w:style w:type="paragraph" w:styleId="ac">
    <w:name w:val="header"/>
    <w:basedOn w:val="a"/>
    <w:pPr>
      <w:tabs>
        <w:tab w:val="center" w:pos="4677"/>
        <w:tab w:val="right" w:pos="9355"/>
      </w:tabs>
      <w:spacing w:after="0" w:line="240" w:lineRule="auto"/>
    </w:pPr>
  </w:style>
  <w:style w:type="paragraph" w:styleId="ad">
    <w:name w:val="footer"/>
    <w:basedOn w:val="a"/>
    <w:link w:val="ae"/>
    <w:pPr>
      <w:tabs>
        <w:tab w:val="center" w:pos="4677"/>
        <w:tab w:val="right" w:pos="9355"/>
      </w:tabs>
      <w:spacing w:after="0" w:line="240" w:lineRule="auto"/>
    </w:pPr>
  </w:style>
  <w:style w:type="character" w:customStyle="1" w:styleId="ae">
    <w:name w:val="Нижний колонтитул Знак"/>
    <w:link w:val="ad"/>
    <w:locked/>
    <w:rsid w:val="003E2C3D"/>
    <w:rPr>
      <w:rFonts w:ascii="Calibri" w:eastAsia="Calibri" w:hAnsi="Calibri"/>
      <w:sz w:val="22"/>
      <w:szCs w:val="22"/>
      <w:lang w:val="ru-RU" w:eastAsia="zh-CN" w:bidi="ar-SA"/>
    </w:rPr>
  </w:style>
  <w:style w:type="paragraph" w:styleId="af">
    <w:name w:val="List Paragraph"/>
    <w:basedOn w:val="a"/>
    <w:uiPriority w:val="34"/>
    <w:qFormat/>
    <w:rsid w:val="00BE502C"/>
    <w:pPr>
      <w:suppressAutoHyphens w:val="0"/>
      <w:ind w:left="720"/>
      <w:contextualSpacing/>
    </w:pPr>
    <w:rPr>
      <w:rFonts w:eastAsia="Times New Roman"/>
      <w:lang w:eastAsia="ru-RU"/>
    </w:rPr>
  </w:style>
  <w:style w:type="table" w:styleId="af0">
    <w:name w:val="Table Grid"/>
    <w:basedOn w:val="a2"/>
    <w:uiPriority w:val="59"/>
    <w:rsid w:val="00BE502C"/>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prfx">
    <w:name w:val="clauseprfx"/>
    <w:rsid w:val="00370B7D"/>
  </w:style>
  <w:style w:type="character" w:customStyle="1" w:styleId="clausesuff">
    <w:name w:val="clausesuff"/>
    <w:rsid w:val="00370B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0804523">
      <w:bodyDiv w:val="1"/>
      <w:marLeft w:val="0"/>
      <w:marRight w:val="0"/>
      <w:marTop w:val="0"/>
      <w:marBottom w:val="0"/>
      <w:divBdr>
        <w:top w:val="none" w:sz="0" w:space="0" w:color="auto"/>
        <w:left w:val="none" w:sz="0" w:space="0" w:color="auto"/>
        <w:bottom w:val="none" w:sz="0" w:space="0" w:color="auto"/>
        <w:right w:val="none" w:sz="0" w:space="0" w:color="auto"/>
      </w:divBdr>
      <w:divsChild>
        <w:div w:id="1186486024">
          <w:marLeft w:val="0"/>
          <w:marRight w:val="0"/>
          <w:marTop w:val="0"/>
          <w:marBottom w:val="150"/>
          <w:divBdr>
            <w:top w:val="none" w:sz="0" w:space="0" w:color="auto"/>
            <w:left w:val="none" w:sz="0" w:space="0" w:color="auto"/>
            <w:bottom w:val="none" w:sz="0" w:space="0" w:color="auto"/>
            <w:right w:val="none" w:sz="0" w:space="0" w:color="auto"/>
          </w:divBdr>
        </w:div>
        <w:div w:id="1921326377">
          <w:marLeft w:val="0"/>
          <w:marRight w:val="0"/>
          <w:marTop w:val="0"/>
          <w:marBottom w:val="150"/>
          <w:divBdr>
            <w:top w:val="none" w:sz="0" w:space="0" w:color="auto"/>
            <w:left w:val="none" w:sz="0" w:space="0" w:color="auto"/>
            <w:bottom w:val="none" w:sz="0" w:space="0" w:color="auto"/>
            <w:right w:val="none" w:sz="0" w:space="0" w:color="auto"/>
          </w:divBdr>
        </w:div>
      </w:divsChild>
    </w:div>
    <w:div w:id="1398895650">
      <w:bodyDiv w:val="1"/>
      <w:marLeft w:val="0"/>
      <w:marRight w:val="0"/>
      <w:marTop w:val="0"/>
      <w:marBottom w:val="0"/>
      <w:divBdr>
        <w:top w:val="none" w:sz="0" w:space="0" w:color="auto"/>
        <w:left w:val="none" w:sz="0" w:space="0" w:color="auto"/>
        <w:bottom w:val="none" w:sz="0" w:space="0" w:color="auto"/>
        <w:right w:val="none" w:sz="0" w:space="0" w:color="auto"/>
      </w:divBdr>
      <w:divsChild>
        <w:div w:id="163086158">
          <w:marLeft w:val="0"/>
          <w:marRight w:val="0"/>
          <w:marTop w:val="120"/>
          <w:marBottom w:val="120"/>
          <w:divBdr>
            <w:top w:val="none" w:sz="0" w:space="0" w:color="auto"/>
            <w:left w:val="none" w:sz="0" w:space="0" w:color="auto"/>
            <w:bottom w:val="none" w:sz="0" w:space="0" w:color="auto"/>
            <w:right w:val="none" w:sz="0" w:space="0" w:color="auto"/>
          </w:divBdr>
        </w:div>
        <w:div w:id="268775657">
          <w:marLeft w:val="0"/>
          <w:marRight w:val="0"/>
          <w:marTop w:val="0"/>
          <w:marBottom w:val="150"/>
          <w:divBdr>
            <w:top w:val="none" w:sz="0" w:space="0" w:color="auto"/>
            <w:left w:val="none" w:sz="0" w:space="0" w:color="auto"/>
            <w:bottom w:val="none" w:sz="0" w:space="0" w:color="auto"/>
            <w:right w:val="none" w:sz="0" w:space="0" w:color="auto"/>
          </w:divBdr>
        </w:div>
        <w:div w:id="1181552503">
          <w:marLeft w:val="0"/>
          <w:marRight w:val="0"/>
          <w:marTop w:val="0"/>
          <w:marBottom w:val="150"/>
          <w:divBdr>
            <w:top w:val="none" w:sz="0" w:space="0" w:color="auto"/>
            <w:left w:val="none" w:sz="0" w:space="0" w:color="auto"/>
            <w:bottom w:val="none" w:sz="0" w:space="0" w:color="auto"/>
            <w:right w:val="none" w:sz="0" w:space="0" w:color="auto"/>
          </w:divBdr>
        </w:div>
        <w:div w:id="1948151948">
          <w:marLeft w:val="0"/>
          <w:marRight w:val="0"/>
          <w:marTop w:val="0"/>
          <w:marBottom w:val="150"/>
          <w:divBdr>
            <w:top w:val="none" w:sz="0" w:space="0" w:color="auto"/>
            <w:left w:val="none" w:sz="0" w:space="0" w:color="auto"/>
            <w:bottom w:val="none" w:sz="0" w:space="0" w:color="auto"/>
            <w:right w:val="none" w:sz="0" w:space="0" w:color="auto"/>
          </w:divBdr>
        </w:div>
      </w:divsChild>
    </w:div>
    <w:div w:id="1412197194">
      <w:bodyDiv w:val="1"/>
      <w:marLeft w:val="0"/>
      <w:marRight w:val="0"/>
      <w:marTop w:val="0"/>
      <w:marBottom w:val="0"/>
      <w:divBdr>
        <w:top w:val="none" w:sz="0" w:space="0" w:color="auto"/>
        <w:left w:val="none" w:sz="0" w:space="0" w:color="auto"/>
        <w:bottom w:val="none" w:sz="0" w:space="0" w:color="auto"/>
        <w:right w:val="none" w:sz="0" w:space="0" w:color="auto"/>
      </w:divBdr>
    </w:div>
    <w:div w:id="1611351773">
      <w:bodyDiv w:val="1"/>
      <w:marLeft w:val="0"/>
      <w:marRight w:val="0"/>
      <w:marTop w:val="0"/>
      <w:marBottom w:val="0"/>
      <w:divBdr>
        <w:top w:val="none" w:sz="0" w:space="0" w:color="auto"/>
        <w:left w:val="none" w:sz="0" w:space="0" w:color="auto"/>
        <w:bottom w:val="none" w:sz="0" w:space="0" w:color="auto"/>
        <w:right w:val="none" w:sz="0" w:space="0" w:color="auto"/>
      </w:divBdr>
      <w:divsChild>
        <w:div w:id="58750486">
          <w:marLeft w:val="0"/>
          <w:marRight w:val="0"/>
          <w:marTop w:val="0"/>
          <w:marBottom w:val="150"/>
          <w:divBdr>
            <w:top w:val="none" w:sz="0" w:space="0" w:color="auto"/>
            <w:left w:val="none" w:sz="0" w:space="0" w:color="auto"/>
            <w:bottom w:val="none" w:sz="0" w:space="0" w:color="auto"/>
            <w:right w:val="none" w:sz="0" w:space="0" w:color="auto"/>
          </w:divBdr>
        </w:div>
        <w:div w:id="365564459">
          <w:marLeft w:val="0"/>
          <w:marRight w:val="0"/>
          <w:marTop w:val="0"/>
          <w:marBottom w:val="150"/>
          <w:divBdr>
            <w:top w:val="none" w:sz="0" w:space="0" w:color="auto"/>
            <w:left w:val="none" w:sz="0" w:space="0" w:color="auto"/>
            <w:bottom w:val="none" w:sz="0" w:space="0" w:color="auto"/>
            <w:right w:val="none" w:sz="0" w:space="0" w:color="auto"/>
          </w:divBdr>
        </w:div>
      </w:divsChild>
    </w:div>
    <w:div w:id="1633516296">
      <w:bodyDiv w:val="1"/>
      <w:marLeft w:val="0"/>
      <w:marRight w:val="0"/>
      <w:marTop w:val="0"/>
      <w:marBottom w:val="0"/>
      <w:divBdr>
        <w:top w:val="none" w:sz="0" w:space="0" w:color="auto"/>
        <w:left w:val="none" w:sz="0" w:space="0" w:color="auto"/>
        <w:bottom w:val="none" w:sz="0" w:space="0" w:color="auto"/>
        <w:right w:val="none" w:sz="0" w:space="0" w:color="auto"/>
      </w:divBdr>
      <w:divsChild>
        <w:div w:id="657733744">
          <w:marLeft w:val="0"/>
          <w:marRight w:val="0"/>
          <w:marTop w:val="60"/>
          <w:marBottom w:val="60"/>
          <w:divBdr>
            <w:top w:val="none" w:sz="0" w:space="0" w:color="auto"/>
            <w:left w:val="none" w:sz="0" w:space="0" w:color="auto"/>
            <w:bottom w:val="none" w:sz="0" w:space="0" w:color="auto"/>
            <w:right w:val="none" w:sz="0" w:space="0" w:color="auto"/>
          </w:divBdr>
        </w:div>
        <w:div w:id="1031078190">
          <w:marLeft w:val="0"/>
          <w:marRight w:val="0"/>
          <w:marTop w:val="0"/>
          <w:marBottom w:val="150"/>
          <w:divBdr>
            <w:top w:val="none" w:sz="0" w:space="0" w:color="auto"/>
            <w:left w:val="none" w:sz="0" w:space="0" w:color="auto"/>
            <w:bottom w:val="none" w:sz="0" w:space="0" w:color="auto"/>
            <w:right w:val="none" w:sz="0" w:space="0" w:color="auto"/>
          </w:divBdr>
        </w:div>
        <w:div w:id="1110473035">
          <w:marLeft w:val="0"/>
          <w:marRight w:val="0"/>
          <w:marTop w:val="0"/>
          <w:marBottom w:val="150"/>
          <w:divBdr>
            <w:top w:val="none" w:sz="0" w:space="0" w:color="auto"/>
            <w:left w:val="none" w:sz="0" w:space="0" w:color="auto"/>
            <w:bottom w:val="none" w:sz="0" w:space="0" w:color="auto"/>
            <w:right w:val="none" w:sz="0" w:space="0" w:color="auto"/>
          </w:divBdr>
        </w:div>
        <w:div w:id="1226841221">
          <w:marLeft w:val="0"/>
          <w:marRight w:val="0"/>
          <w:marTop w:val="120"/>
          <w:marBottom w:val="120"/>
          <w:divBdr>
            <w:top w:val="none" w:sz="0" w:space="0" w:color="auto"/>
            <w:left w:val="none" w:sz="0" w:space="0" w:color="auto"/>
            <w:bottom w:val="none" w:sz="0" w:space="0" w:color="auto"/>
            <w:right w:val="none" w:sz="0" w:space="0" w:color="auto"/>
          </w:divBdr>
        </w:div>
      </w:divsChild>
    </w:div>
    <w:div w:id="1908683479">
      <w:bodyDiv w:val="1"/>
      <w:marLeft w:val="0"/>
      <w:marRight w:val="0"/>
      <w:marTop w:val="0"/>
      <w:marBottom w:val="0"/>
      <w:divBdr>
        <w:top w:val="none" w:sz="0" w:space="0" w:color="auto"/>
        <w:left w:val="none" w:sz="0" w:space="0" w:color="auto"/>
        <w:bottom w:val="none" w:sz="0" w:space="0" w:color="auto"/>
        <w:right w:val="none" w:sz="0" w:space="0" w:color="auto"/>
      </w:divBdr>
      <w:divsChild>
        <w:div w:id="1163158932">
          <w:marLeft w:val="0"/>
          <w:marRight w:val="0"/>
          <w:marTop w:val="0"/>
          <w:marBottom w:val="150"/>
          <w:divBdr>
            <w:top w:val="none" w:sz="0" w:space="0" w:color="auto"/>
            <w:left w:val="none" w:sz="0" w:space="0" w:color="auto"/>
            <w:bottom w:val="none" w:sz="0" w:space="0" w:color="auto"/>
            <w:right w:val="none" w:sz="0" w:space="0" w:color="auto"/>
          </w:divBdr>
        </w:div>
        <w:div w:id="2137410261">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402</Words>
  <Characters>2298</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Заголовок: Отмена определения об оставлении заявления без рассмотрения</vt:lpstr>
    </vt:vector>
  </TitlesOfParts>
  <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Заголовок: Отмена определения об оставлении заявления без рассмотрения</dc:title>
  <dc:subject/>
  <dc:creator>User</dc:creator>
  <cp:keywords/>
  <cp:lastModifiedBy>Shakarboy G'oyibnazarov</cp:lastModifiedBy>
  <cp:revision>2</cp:revision>
  <cp:lastPrinted>1899-12-31T19:00:00Z</cp:lastPrinted>
  <dcterms:created xsi:type="dcterms:W3CDTF">2024-03-04T04:34:00Z</dcterms:created>
  <dcterms:modified xsi:type="dcterms:W3CDTF">2024-03-04T04:34:00Z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sud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Ariza beruvchi</w:name>
    <w:value w:hidden="true">
      <w:unit w:active="false"/>
    </w:value>
  </w:element>
  <w:element w:id="5" w:kind="variable" w:selector="check" w:type="string" w:valueMode="normal" w:required="false" w:groupID="4">
    <w:identifier xml:space="preserve">ID5</w:identifier>
    <w:name xml:space="preserve">Ariza beruvchining manzili</w:name>
    <w:value w:hidden="false">
      <w:unit w:active="false"/>
    </w:value>
  </w:element>
  <w:element w:id="6" w:kind="variable" w:selector="check" w:type="string" w:valueMode="normal" w:required="false" w:groupID="4">
    <w:identifier xml:space="preserve">ID6</w:identifier>
    <w:name xml:space="preserve">Ariza beruvchi yuridik shaxs nomi yoki yakka tartibdagi tadbirkor (YaTT)ning F.I.Osi</w:name>
    <w:comment xml:space="preserve">Izoh: Masalan “Nur” MJCH yoki YATT A.Aliyev</w:comment>
    <w:value w:hidden="false">
      <w:unit w:active="false"/>
    </w:value>
  </w:element>
  <w:element w:id="7" w:kind="variable" w:selector="check" w:type="string" w:valueMode="normal" w:required="false" w:groupID="4">
    <w:identifier xml:space="preserve">ID7</w:identifier>
    <w:name xml:space="preserve">Ariza beruvchi yuridik shaxs rahbarining yoki yakka tartibdagi tadbirkor (YaTT)ning F.I.Osi</w:name>
    <w:value w:hidden="false">
      <w:unit w:active="false"/>
    </w:value>
  </w:element>
  <w:element w:id="8" w:kind="category" w:selector="check" w:type="string" w:valueMode="normal" w:required="false">
    <w:identifier xml:space="preserve">ID8</w:identifier>
    <w:name xml:space="preserve">Ariza mazmuni:</w:name>
    <w:value w:hidden="true">
      <w:unit w:active="false"/>
    </w:value>
  </w:element>
  <w:element w:id="9" w:kind="variable" w:selector="check" w:type="string" w:valueMode="normal" w:required="false" w:groupID="8">
    <w:identifier xml:space="preserve">ID9</w:identifier>
    <w:name xml:space="preserve">Ijro varaqasi berilgan ish bo‘yicha da’vogar</w:name>
    <w:value w:hidden="false">
      <w:unit w:active="false"/>
    </w:value>
  </w:element>
  <w:element w:id="10" w:kind="variable" w:selector="check" w:type="string" w:valueMode="normal" w:required="false" w:groupID="8">
    <w:identifier xml:space="preserve">ID10</w:identifier>
    <w:name xml:space="preserve">Ijro varaqasi berilgan ish bo‘yicha javogar</w:name>
    <w:value w:hidden="false">
      <w:unit w:active="false"/>
    </w:value>
  </w:element>
  <w:element w:id="11" w:kind="variable" w:selector="check" w:type="string" w:valueMode="normal" w:required="false" w:groupID="8">
    <w:identifier xml:space="preserve">ID11</w:identifier>
    <w:name xml:space="preserve">Ijro varaqasi berilgan ish bo‘yicha da’vo ariza mazmuni</w:name>
    <w:value w:hidden="false">
      <w:unit w:active="false"/>
    </w:value>
  </w:element>
  <w:element w:id="12" w:kind="variable" w:selector="check" w:type="string" w:valueMode="normal" w:required="false" w:groupID="8">
    <w:identifier xml:space="preserve">ID12</w:identifier>
    <w:name xml:space="preserve">Ijro varaqasi berilgan ish bo‘yicha hal qiluv qarori qabul qilingan sana</w:name>
    <w:value w:hidden="false">
      <w:unit w:active="false"/>
    </w:value>
  </w:element>
  <w:element w:id="13" w:kind="variable" w:selector="check" w:type="string" w:valueMode="normal" w:required="false" w:groupID="8">
    <w:identifier xml:space="preserve">ID13</w:identifier>
    <w:name xml:space="preserve">Hal qiluv qaroriga asosan ijro varaqasi berilgan sana </w:name>
    <w:value w:hidden="false">
      <w:unit w:active="false"/>
    </w:value>
  </w:element>
  <w:element w:id="14" w:kind="variable" w:selector="check" w:type="string" w:valueMode="normal" w:required="false" w:groupID="8">
    <w:identifier xml:space="preserve">ID14</w:identifier>
    <w:name xml:space="preserve">Arizachi ijro varaqasini o‘z vaqtida ijroga topshirolmaganligining sabablari</w:name>
    <w:value w:hidden="false">
      <w:unit w:active="false"/>
    </w:value>
  </w:element>
  <w:element w:id="15" w:kind="variable" w:selector="check" w:type="string" w:valueMode="normal" w:required="false" w:groupID="8">
    <w:identifier xml:space="preserve">ID15</w:identifier>
    <w:name xml:space="preserve">Ijro varaqasi taqdim etilishi nazarda tutilgan MIB bo‘limi nomi </w:name>
    <w:value w:hidden="false">
      <w:unit w:active="false"/>
    </w:value>
  </w:element>
  <w:element w:id="16" w:kind="variable" w:selector="check" w:type="string" w:valueMode="normal" w:required="false" w:groupID="8">
    <w:identifier xml:space="preserve">ID16</w:identifier>
    <w:name xml:space="preserve">Ijro varaqasi berish uchun asos bo‘lgan sud qarorini qabul qilgan sud nomi</w:name>
    <w:value w:hidden="false">
      <w:unit w:active="false"/>
    </w:value>
  </w:element>
  <w:element w:id="17" w:kind="variable" w:selector="check" w:type="string" w:valueMode="normal" w:required="false" w:groupID="8">
    <w:identifier xml:space="preserve">ID17</w:identifier>
    <w:name xml:space="preserve">Arizaga ilova qilinayotgan hujjatlar nomi</w:name>
    <w:value w:hidden="false">
      <w:unit w:active="false"/>
    </w:value>
  </w:element>
</w:structure>
</file>