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5"/>
        <w:gridCol w:w="4790"/>
      </w:tblGrid>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iqtisodiy sud nomi</w:t>
              <w:fldChar w:fldCharType="end"/>
            </w:r>
            <w:r>
              <w:rPr>
                <w:sz w:val="28"/>
                <w:rFonts w:ascii="Times New Roman" w:hAnsi="Times New Roman"/>
              </w:rPr>
              <w:t xml:space="preserve"> sudiga</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 yuridik shaxs nomi yoki yakka tartibdagi tadbirkor (YaTT)ning F.I.Osi</w:t>
              <w:fldChar w:fldCharType="end"/>
            </w:r>
            <w:r>
              <w:rPr>
                <w:sz w:val="28"/>
                <w:rFonts w:ascii="Times New Roman" w:hAnsi="Times New Roman"/>
              </w:rPr>
              <w:t>dan</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 beruvchining manzili</w:t>
              <w:fldChar w:fldCharType="end"/>
            </w:r>
          </w:p>
        </w:tc>
      </w:tr>
    </w:tbl>
    <w:p>
      <w:pPr>
        <w:spacing w:after="0"/>
        <w:rPr>
          <w:sz w:val="28"/>
          <w:rFonts w:ascii="Times New Roman" w:hAnsi="Times New Roman"/>
        </w:rPr>
      </w:pPr>
    </w:p>
    <w:p>
      <w:pPr>
        <w:pStyle w:val="a0"/>
        <w:jc w:val="center"/>
        <w:spacing w:after="0"/>
        <w:rPr>
          <w:b/>
          <w:sz w:val="28"/>
          <w:rFonts w:ascii="Times New Roman" w:hAnsi="Times New Roman"/>
        </w:rPr>
      </w:pPr>
      <w:r>
        <w:rPr>
          <w:b/>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Ijro varaqasini ijroga taqdim etishning o‘tkazib yuborilgan muddatini tiklash to‘g‘risida ariza </w:t>
      </w:r>
    </w:p>
    <w:p>
      <w:pPr>
        <w:pStyle w:val="a0"/>
        <w:jc w:val="both"/>
        <w:ind w:firstLine="900"/>
        <w:spacing w:after="0"/>
        <w:rPr>
          <w:sz w:val="28"/>
          <w:rFonts w:ascii="Times New Roman" w:hAnsi="Times New Roman"/>
        </w:rPr>
      </w:pPr>
    </w:p>
    <w:p>
      <w:pPr>
        <w:pStyle w:val="a0"/>
        <w:jc w:val="both"/>
        <w:ind w:firstLine="900"/>
        <w:spacing w:after="0"/>
        <w:rPr>
          <w:color w:val="000000"/>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iqtisodiy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Ish bo‘yicha hal qiluv qarori qabul qilingan sana</w:t>
        <w:fldChar w:fldCharType="end"/>
      </w:r>
      <w:r>
        <w:rPr>
          <w:color w:val="000000"/>
          <w:sz w:val="28"/>
          <w:rFonts w:ascii="Times New Roman" w:hAnsi="Times New Roman"/>
        </w:rPr>
        <w:t xml:space="preserve"> kunidagi hal qiluv qarori bilan </w:t>
      </w:r>
      <w:r>
        <w:rPr>
          <w:sz w:val="28"/>
          <w:rFonts w:ascii="Times New Roman" w:hAnsi="Times New Roman"/>
        </w:rPr>
        <w:t xml:space="preserve">da’vogar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da’vogar</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Ish bo‘yicha javogar</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qanoatlantirilgan. Ushbu hal qiluv qaroriga asosan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Hal qiluv qaroriga asosan ijro varaqasi berilgan sana</w:t>
        <w:fldChar w:fldCharType="end"/>
      </w:r>
      <w:r>
        <w:rPr>
          <w:color w:val="000000"/>
          <w:sz w:val="28"/>
          <w:rFonts w:ascii="Times New Roman" w:hAnsi="Times New Roman"/>
        </w:rPr>
        <w:t xml:space="preserve"> kuni ijro varaqasi chiqarilgan. Biz </w:t>
      </w: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Ijro varaqasi o‘z vaqtida ijroga taqdim etilmaganligining sabab(lar)i</w:t>
        <w:fldChar w:fldCharType="end"/>
      </w:r>
      <w:r>
        <w:rPr>
          <w:color w:val="000000"/>
          <w:sz w:val="28"/>
          <w:rFonts w:ascii="Times New Roman" w:hAnsi="Times New Roman"/>
        </w:rPr>
        <w:t xml:space="preserve"> sababli ushbu ijro varaqasini ijroga topshirolmadik. </w:t>
      </w:r>
    </w:p>
    <w:p>
      <w:pPr>
        <w:jc w:val="both"/>
        <w:ind w:firstLine="709"/>
        <w:spacing w:after="0"/>
        <w:rPr>
          <w:color w:val="000000"/>
          <w:sz w:val="28"/>
          <w:rFonts w:ascii="Times New Roman" w:hAnsi="Times New Roman"/>
        </w:rPr>
      </w:pPr>
      <w:r>
        <w:rPr>
          <w:sz w:val="28"/>
          <w:rFonts w:ascii="Times New Roman" w:hAnsi="Times New Roman"/>
        </w:rPr>
        <w:t xml:space="preserve">O‘zbekiston Respublikasining “Sud hujjatlari va boshqa organlar hujjatlarini ijro etish to‘g‘risida”gi Qonunining 29-moddasiga ko‘ra </w:t>
      </w:r>
      <w:r>
        <w:rPr>
          <w:color w:val="000000"/>
          <w:sz w:val="28"/>
          <w:rFonts w:ascii="Times New Roman" w:hAnsi="Times New Roman"/>
        </w:rPr>
        <w:t xml:space="preserve">ijroga topshirish muddati o‘tkazib yuborilgan ijro hujjatini davlat ijrochisi ish yuritish uchun qabul qilmasdan, bu haqda tegishli qaror chiqaradi. Ijro varaqasi yoki sud buyrug‘ini ijroga topshirish muddatini o‘tkazib yuborgan undiruvchi tegishli hujjatni qabul qilgan sudga yoki bu hujjat ijro etiladigan joydagi sudga o‘tkazib yuborilgan muddatni tiklash to‘g‘risidagi ariza bilan murojaat qilishga haqlidir.</w:t>
      </w:r>
    </w:p>
    <w:p>
      <w:pPr>
        <w:jc w:val="both"/>
        <w:ind w:firstLine="709"/>
        <w:spacing w:after="0"/>
        <w:rPr>
          <w:color w:val="000000"/>
          <w:sz w:val="28"/>
          <w:rFonts w:ascii="Times New Roman" w:hAnsi="Times New Roman"/>
        </w:rPr>
      </w:pPr>
      <w:r>
        <w:rPr>
          <w:color w:val="000000"/>
          <w:sz w:val="28"/>
          <w:rFonts w:ascii="Times New Roman" w:hAnsi="Times New Roman"/>
        </w:rPr>
        <w:t xml:space="preserve">O‘zbekiston Respublikasi Iqtisodiy protsessual kodeksining 340-moddasiga ko‘ra, </w:t>
      </w:r>
      <w:r>
        <w:rPr>
          <w:color w:val="000080"/>
          <w:sz w:val="28"/>
          <w:rFonts w:ascii="Times New Roman" w:hAnsi="Times New Roman"/>
        </w:rPr>
        <w:t>i</w:t>
      </w:r>
      <w:r>
        <w:rPr>
          <w:color w:val="000000"/>
          <w:sz w:val="28"/>
          <w:rFonts w:ascii="Times New Roman" w:hAnsi="Times New Roman"/>
        </w:rPr>
        <w:t xml:space="preserve">jro varaqasini ijroga taqdim etish muddatini o‘tkazib yuborgan undiruvchi ijro varaqasini bergan sudga yoki u ijro etiladigan joydagi sudga o‘tkazib yuborilgan muddatni tiklash to‘g‘risidagi ariza bilan murojaat qilishga haqli.</w:t>
      </w:r>
    </w:p>
    <w:p>
      <w:pPr>
        <w:jc w:val="both"/>
        <w:ind w:firstLine="851"/>
        <w:spacing w:after="0"/>
        <w:rPr>
          <w:color w:val="000000"/>
          <w:sz w:val="28"/>
          <w:rFonts w:ascii="Times New Roman" w:hAnsi="Times New Roman"/>
        </w:rPr>
      </w:pPr>
      <w:r>
        <w:rPr>
          <w:color w:val="000000"/>
          <w:sz w:val="28"/>
          <w:rFonts w:ascii="Times New Roman" w:hAnsi="Times New Roman"/>
        </w:rPr>
        <w:t xml:space="preserve">Muddatni o‘tkazib yuborish sabablari sud tomonidan uzrli deb topilgan taqdirda, o‘tkazib yuborilgan muddat tiklanishi mumkin. Undiruvchining ijro varaqasini ijroga taqdim etish muddatini tiklash to‘g‘risidagi arizasi u sudga kelib tushgan kundan e’tiboran bir oylik muddatda sud majlisida ko‘rib chiqiladi.</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Iqtisodiy protsessual kodeksining 334-338, 340-moddalariga asoslanib,</w:t>
      </w:r>
    </w:p>
    <w:p>
      <w:pPr>
        <w:jc w:val="both"/>
        <w:ind w:firstLine="709"/>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ind w:firstLine="708"/>
        <w:spacing w:after="0"/>
        <w:rPr>
          <w:color w:val="000000"/>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iqtisodiy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Ish bo‘yicha hal qiluv qarori qabul qilingan sana</w:t>
        <w:fldChar w:fldCharType="end"/>
      </w:r>
      <w:r>
        <w:rPr>
          <w:color w:val="000000"/>
          <w:sz w:val="28"/>
          <w:rFonts w:ascii="Times New Roman" w:hAnsi="Times New Roman"/>
        </w:rPr>
        <w:t xml:space="preserve"> kunidagi hal qiluv qarori bo‘yicha ijro varaqasini ijroga taqdim etishning o‘tkazib yuborilgan muddatini tiklab berishingizni. </w:t>
      </w:r>
    </w:p>
    <w:p>
      <w:pPr>
        <w:jc w:val="both"/>
        <w:ind w:firstLine="708"/>
        <w:spacing w:after="0"/>
        <w:rPr>
          <w:color w:val="000000"/>
          <w:sz w:val="28"/>
          <w:rFonts w:ascii="Times New Roman" w:hAnsi="Times New Roman"/>
        </w:rPr>
      </w:pPr>
    </w:p>
    <w:p>
      <w:pPr>
        <w:pStyle w:val="a0"/>
        <w:jc w:val="both"/>
        <w:ind w:firstLine="900"/>
        <w:spacing w:after="0"/>
        <w:rPr>
          <w:b/>
          <w:sz w:val="28"/>
          <w:rFonts w:ascii="Times New Roman" w:hAnsi="Times New Roman"/>
        </w:rPr>
      </w:pPr>
      <w:r>
        <w:rPr>
          <w:b/>
          <w:sz w:val="28"/>
          <w:rFonts w:ascii="Times New Roman" w:hAnsi="Times New Roman"/>
        </w:rPr>
        <w:t xml:space="preserve">Arizaga ilova qilinayotgan hujjatlar:</w:t>
      </w:r>
    </w:p>
    <w:p>
      <w:pPr>
        <w:pStyle w:val="a0"/>
        <w:jc w:val="both"/>
        <w:ind w:firstLine="900"/>
        <w:spacing w:after="0"/>
        <w:rPr>
          <w:sz w:val="28"/>
          <w:rFonts w:ascii="Times New Roman" w:hAnsi="Times New Roman"/>
        </w:rPr>
      </w:pP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Arizaga ilova qilinayotgan hujjatlar nomi</w:t>
        <w:fldChar w:fldCharType="end"/>
      </w:r>
    </w:p>
    <w:p>
      <w:pPr>
        <w:pStyle w:val="a0"/>
        <w:jc w:val="both"/>
        <w:spacing w:after="0"/>
        <w:rPr>
          <w:sz w:val="28"/>
          <w:rFonts w:ascii="Times New Roman" w:hAnsi="Times New Roman"/>
        </w:rPr>
      </w:pPr>
      <w:r>
        <w:rPr>
          <w:sz w:val="28"/>
          <w:rFonts w:ascii="Times New Roman" w:hAnsi="Times New Roman"/>
        </w:rPr>
        <w:tab/>
      </w:r>
    </w:p>
    <w:p>
      <w:pPr>
        <w:pStyle w:val="a0"/>
        <w:jc w:val="both"/>
        <w:spacing w:after="0"/>
        <w:rPr>
          <w:sz w:val="28"/>
          <w:rFonts w:ascii="Times New Roman" w:hAnsi="Times New Roman"/>
        </w:rPr>
      </w:pPr>
    </w:p>
    <w:tbl>
      <w:tblPr>
        <w:tblW w:w="0" w:type="auto"/>
      </w:tblPr>
      <w:tblGrid>
        <w:gridCol w:w="3133"/>
        <w:gridCol w:w="3104"/>
        <w:gridCol w:w="3118"/>
      </w:tblGrid>
      <w:tr>
        <w:tc>
          <w:tcPr>
            <w:tcW w:w="3190" w:type="dxa"/>
            <w:shd w:fill="auto"/>
          </w:tcPr>
          <w:p>
            <w:pPr>
              <w:pStyle w:val="a0"/>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 beruvchi yuridik shaxs rahbarining yoki yakka tartibdagi tadbirkor (YaTT)ning F.I.Osi</w:t>
              <w:fldChar w:fldCharType="end"/>
            </w:r>
          </w:p>
          <w:p>
            <w:pPr>
              <w:pStyle w:val="a0"/>
              <w:jc w:val="both"/>
              <w:spacing w:after="0"/>
              <w:rPr>
                <w:sz w:val="28"/>
                <w:rFonts w:ascii="Times New Roman" w:hAnsi="Times New Roman"/>
              </w:rPr>
            </w:pPr>
          </w:p>
        </w:tc>
        <w:tc>
          <w:tcPr>
            <w:tcW w:w="3190" w:type="dxa"/>
            <w:shd w:fill="auto"/>
          </w:tcPr>
          <w:p>
            <w:pPr>
              <w:pStyle w:val="a0"/>
              <w:spacing w:after="0"/>
              <w:pBdr>
                <w:bottom w:sz="12" w:space="1" w:color="auto" w:val="single"/>
              </w:pBdr>
              <w:rPr>
                <w:sz w:val="28"/>
                <w:rFonts w:ascii="Times New Roman" w:hAnsi="Times New Roman"/>
              </w:rPr>
            </w:pPr>
          </w:p>
          <w:p>
            <w:pPr>
              <w:pStyle w:val="a0"/>
              <w:jc w:val="center"/>
              <w:spacing w:after="0"/>
              <w:rPr>
                <w:sz w:val="28"/>
                <w:rFonts w:ascii="Times New Roman" w:hAnsi="Times New Roman"/>
              </w:rPr>
            </w:pPr>
            <w:r>
              <w:rPr>
                <w:sz w:val="28"/>
                <w:rFonts w:ascii="Times New Roman" w:hAnsi="Times New Roman"/>
              </w:rPr>
              <w:t>imzo</w:t>
            </w:r>
          </w:p>
        </w:tc>
        <w:tc>
          <w:tcPr>
            <w:tcW w:w="3191" w:type="dxa"/>
            <w:shd w:fill="auto"/>
          </w:tcPr>
          <w:p>
            <w:pPr>
              <w:pStyle w:val="a0"/>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pStyle w:val="a0"/>
        <w:jc w:val="both"/>
        <w:spacing w:after="0"/>
        <w:rPr>
          <w:sz w:val="28"/>
          <w:rFonts w:ascii="Times New Roman" w:hAnsi="Times New Roman"/>
        </w:rPr>
      </w:pP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A98" w:rsidRDefault="00233A98">
      <w:pPr>
        <w:spacing w:after="0" w:line="240" w:lineRule="auto"/>
      </w:pPr>
      <w:r>
        <w:separator/>
      </w:r>
    </w:p>
  </w:endnote>
  <w:endnote w:type="continuationSeparator" w:id="0">
    <w:p w:rsidR="00233A98" w:rsidRDefault="00233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A98" w:rsidRDefault="00233A98">
      <w:pPr>
        <w:spacing w:after="0" w:line="240" w:lineRule="auto"/>
      </w:pPr>
      <w:r>
        <w:separator/>
      </w:r>
    </w:p>
  </w:footnote>
  <w:footnote w:type="continuationSeparator" w:id="0">
    <w:p w:rsidR="00233A98" w:rsidRDefault="00233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2F475B9"/>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80F5B"/>
    <w:rsid w:val="00085733"/>
    <w:rsid w:val="00097AA3"/>
    <w:rsid w:val="000D3150"/>
    <w:rsid w:val="00110EE3"/>
    <w:rsid w:val="0012785F"/>
    <w:rsid w:val="00141874"/>
    <w:rsid w:val="00182DFC"/>
    <w:rsid w:val="00210977"/>
    <w:rsid w:val="00233A98"/>
    <w:rsid w:val="002355AC"/>
    <w:rsid w:val="00244854"/>
    <w:rsid w:val="002479CF"/>
    <w:rsid w:val="002509AB"/>
    <w:rsid w:val="00251D5D"/>
    <w:rsid w:val="00271F89"/>
    <w:rsid w:val="0029035A"/>
    <w:rsid w:val="002D188D"/>
    <w:rsid w:val="002D3093"/>
    <w:rsid w:val="002D6B90"/>
    <w:rsid w:val="00306E93"/>
    <w:rsid w:val="00340C52"/>
    <w:rsid w:val="00370B7D"/>
    <w:rsid w:val="00376012"/>
    <w:rsid w:val="003A69A8"/>
    <w:rsid w:val="003E2C3D"/>
    <w:rsid w:val="00402D1E"/>
    <w:rsid w:val="00455C97"/>
    <w:rsid w:val="0046575E"/>
    <w:rsid w:val="0047582C"/>
    <w:rsid w:val="004E1A33"/>
    <w:rsid w:val="004E592E"/>
    <w:rsid w:val="004F54B1"/>
    <w:rsid w:val="00523079"/>
    <w:rsid w:val="00573D5F"/>
    <w:rsid w:val="005A1748"/>
    <w:rsid w:val="005A7865"/>
    <w:rsid w:val="005B0530"/>
    <w:rsid w:val="005B5529"/>
    <w:rsid w:val="005F1B44"/>
    <w:rsid w:val="00614F9F"/>
    <w:rsid w:val="00627ABD"/>
    <w:rsid w:val="0063313C"/>
    <w:rsid w:val="0063696E"/>
    <w:rsid w:val="00640624"/>
    <w:rsid w:val="006576BC"/>
    <w:rsid w:val="00680D9A"/>
    <w:rsid w:val="00683576"/>
    <w:rsid w:val="006A4F4F"/>
    <w:rsid w:val="006C2642"/>
    <w:rsid w:val="006D4EEB"/>
    <w:rsid w:val="00701492"/>
    <w:rsid w:val="0071098A"/>
    <w:rsid w:val="00715654"/>
    <w:rsid w:val="00740520"/>
    <w:rsid w:val="007520A3"/>
    <w:rsid w:val="00761CF0"/>
    <w:rsid w:val="0078722E"/>
    <w:rsid w:val="007B2732"/>
    <w:rsid w:val="007E01A9"/>
    <w:rsid w:val="007E3278"/>
    <w:rsid w:val="0081781A"/>
    <w:rsid w:val="008300B7"/>
    <w:rsid w:val="00866367"/>
    <w:rsid w:val="0087799D"/>
    <w:rsid w:val="008B18A4"/>
    <w:rsid w:val="008C1703"/>
    <w:rsid w:val="0091722F"/>
    <w:rsid w:val="00966404"/>
    <w:rsid w:val="009C0CD8"/>
    <w:rsid w:val="009C1BBE"/>
    <w:rsid w:val="009D0C0F"/>
    <w:rsid w:val="00A24ED1"/>
    <w:rsid w:val="00A8356B"/>
    <w:rsid w:val="00A90390"/>
    <w:rsid w:val="00A941DD"/>
    <w:rsid w:val="00AB6776"/>
    <w:rsid w:val="00B01ED2"/>
    <w:rsid w:val="00B11900"/>
    <w:rsid w:val="00B63212"/>
    <w:rsid w:val="00BD5959"/>
    <w:rsid w:val="00BE502C"/>
    <w:rsid w:val="00C340A3"/>
    <w:rsid w:val="00C87441"/>
    <w:rsid w:val="00C91039"/>
    <w:rsid w:val="00CA2AB5"/>
    <w:rsid w:val="00CB0BA6"/>
    <w:rsid w:val="00CC1796"/>
    <w:rsid w:val="00CC1EE5"/>
    <w:rsid w:val="00CC4FAE"/>
    <w:rsid w:val="00CD1CA0"/>
    <w:rsid w:val="00CE2099"/>
    <w:rsid w:val="00CF040A"/>
    <w:rsid w:val="00CF2571"/>
    <w:rsid w:val="00D01DE6"/>
    <w:rsid w:val="00D05289"/>
    <w:rsid w:val="00D0702B"/>
    <w:rsid w:val="00D1129B"/>
    <w:rsid w:val="00D42C38"/>
    <w:rsid w:val="00D66750"/>
    <w:rsid w:val="00E11AC6"/>
    <w:rsid w:val="00E12CEF"/>
    <w:rsid w:val="00E31625"/>
    <w:rsid w:val="00E43D1F"/>
    <w:rsid w:val="00E82E08"/>
    <w:rsid w:val="00E8754B"/>
    <w:rsid w:val="00EA4D4E"/>
    <w:rsid w:val="00EA52A9"/>
    <w:rsid w:val="00EA5BFB"/>
    <w:rsid w:val="00EB3666"/>
    <w:rsid w:val="00EE58C1"/>
    <w:rsid w:val="00EE6E5D"/>
    <w:rsid w:val="00EF1B5D"/>
    <w:rsid w:val="00F22F8E"/>
    <w:rsid w:val="00F3163A"/>
    <w:rsid w:val="00F50358"/>
    <w:rsid w:val="00F50769"/>
    <w:rsid w:val="00F572D3"/>
    <w:rsid w:val="00F67D3B"/>
    <w:rsid w:val="00F95475"/>
    <w:rsid w:val="00FA320B"/>
    <w:rsid w:val="00FA3906"/>
    <w:rsid w:val="00FB3410"/>
    <w:rsid w:val="00FC26A5"/>
    <w:rsid w:val="00FF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4CCBC5C3-9C1E-43CD-9477-4B3E45CCB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tabs>
        <w:tab w:val="num" w:pos="576"/>
      </w:tabs>
      <w:spacing w:before="280" w:after="280" w:line="240" w:lineRule="auto"/>
      <w:ind w:left="576" w:hanging="576"/>
      <w:outlineLvl w:val="1"/>
    </w:pPr>
    <w:rPr>
      <w:rFonts w:ascii="Times New Roman" w:eastAsia="Times New Roman" w:hAnsi="Times New Roman"/>
      <w:b/>
      <w:bCs/>
      <w:sz w:val="36"/>
      <w:szCs w:val="36"/>
    </w:rPr>
  </w:style>
  <w:style w:type="paragraph" w:styleId="3">
    <w:name w:val="heading 3"/>
    <w:basedOn w:val="a"/>
    <w:next w:val="a0"/>
    <w:qFormat/>
    <w:pPr>
      <w:tabs>
        <w:tab w:val="num" w:pos="720"/>
      </w:tabs>
      <w:spacing w:before="280" w:after="280" w:line="240" w:lineRule="auto"/>
      <w:ind w:left="720" w:hanging="720"/>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BE502C"/>
    <w:pPr>
      <w:suppressAutoHyphens w:val="0"/>
      <w:ind w:left="720"/>
      <w:contextualSpacing/>
    </w:pPr>
    <w:rPr>
      <w:rFonts w:eastAsia="Times New Roman"/>
      <w:lang w:eastAsia="ru-RU"/>
    </w:rPr>
  </w:style>
  <w:style w:type="table" w:styleId="af0">
    <w:name w:val="Table Grid"/>
    <w:basedOn w:val="a2"/>
    <w:uiPriority w:val="59"/>
    <w:rsid w:val="00BE502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370B7D"/>
  </w:style>
  <w:style w:type="character" w:customStyle="1" w:styleId="clausesuff">
    <w:name w:val="clausesuff"/>
    <w:rsid w:val="00370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895650">
      <w:bodyDiv w:val="1"/>
      <w:marLeft w:val="0"/>
      <w:marRight w:val="0"/>
      <w:marTop w:val="0"/>
      <w:marBottom w:val="0"/>
      <w:divBdr>
        <w:top w:val="none" w:sz="0" w:space="0" w:color="auto"/>
        <w:left w:val="none" w:sz="0" w:space="0" w:color="auto"/>
        <w:bottom w:val="none" w:sz="0" w:space="0" w:color="auto"/>
        <w:right w:val="none" w:sz="0" w:space="0" w:color="auto"/>
      </w:divBdr>
      <w:divsChild>
        <w:div w:id="163086158">
          <w:marLeft w:val="0"/>
          <w:marRight w:val="0"/>
          <w:marTop w:val="120"/>
          <w:marBottom w:val="120"/>
          <w:divBdr>
            <w:top w:val="none" w:sz="0" w:space="0" w:color="auto"/>
            <w:left w:val="none" w:sz="0" w:space="0" w:color="auto"/>
            <w:bottom w:val="none" w:sz="0" w:space="0" w:color="auto"/>
            <w:right w:val="none" w:sz="0" w:space="0" w:color="auto"/>
          </w:divBdr>
        </w:div>
        <w:div w:id="268775657">
          <w:marLeft w:val="0"/>
          <w:marRight w:val="0"/>
          <w:marTop w:val="0"/>
          <w:marBottom w:val="150"/>
          <w:divBdr>
            <w:top w:val="none" w:sz="0" w:space="0" w:color="auto"/>
            <w:left w:val="none" w:sz="0" w:space="0" w:color="auto"/>
            <w:bottom w:val="none" w:sz="0" w:space="0" w:color="auto"/>
            <w:right w:val="none" w:sz="0" w:space="0" w:color="auto"/>
          </w:divBdr>
        </w:div>
        <w:div w:id="1181552503">
          <w:marLeft w:val="0"/>
          <w:marRight w:val="0"/>
          <w:marTop w:val="0"/>
          <w:marBottom w:val="150"/>
          <w:divBdr>
            <w:top w:val="none" w:sz="0" w:space="0" w:color="auto"/>
            <w:left w:val="none" w:sz="0" w:space="0" w:color="auto"/>
            <w:bottom w:val="none" w:sz="0" w:space="0" w:color="auto"/>
            <w:right w:val="none" w:sz="0" w:space="0" w:color="auto"/>
          </w:divBdr>
        </w:div>
        <w:div w:id="1948151948">
          <w:marLeft w:val="0"/>
          <w:marRight w:val="0"/>
          <w:marTop w:val="0"/>
          <w:marBottom w:val="150"/>
          <w:divBdr>
            <w:top w:val="none" w:sz="0" w:space="0" w:color="auto"/>
            <w:left w:val="none" w:sz="0" w:space="0" w:color="auto"/>
            <w:bottom w:val="none" w:sz="0" w:space="0" w:color="auto"/>
            <w:right w:val="none" w:sz="0" w:space="0" w:color="auto"/>
          </w:divBdr>
        </w:div>
      </w:divsChild>
    </w:div>
    <w:div w:id="1412197194">
      <w:bodyDiv w:val="1"/>
      <w:marLeft w:val="0"/>
      <w:marRight w:val="0"/>
      <w:marTop w:val="0"/>
      <w:marBottom w:val="0"/>
      <w:divBdr>
        <w:top w:val="none" w:sz="0" w:space="0" w:color="auto"/>
        <w:left w:val="none" w:sz="0" w:space="0" w:color="auto"/>
        <w:bottom w:val="none" w:sz="0" w:space="0" w:color="auto"/>
        <w:right w:val="none" w:sz="0" w:space="0" w:color="auto"/>
      </w:divBdr>
    </w:div>
    <w:div w:id="1633516296">
      <w:bodyDiv w:val="1"/>
      <w:marLeft w:val="0"/>
      <w:marRight w:val="0"/>
      <w:marTop w:val="0"/>
      <w:marBottom w:val="0"/>
      <w:divBdr>
        <w:top w:val="none" w:sz="0" w:space="0" w:color="auto"/>
        <w:left w:val="none" w:sz="0" w:space="0" w:color="auto"/>
        <w:bottom w:val="none" w:sz="0" w:space="0" w:color="auto"/>
        <w:right w:val="none" w:sz="0" w:space="0" w:color="auto"/>
      </w:divBdr>
      <w:divsChild>
        <w:div w:id="657733744">
          <w:marLeft w:val="0"/>
          <w:marRight w:val="0"/>
          <w:marTop w:val="60"/>
          <w:marBottom w:val="60"/>
          <w:divBdr>
            <w:top w:val="none" w:sz="0" w:space="0" w:color="auto"/>
            <w:left w:val="none" w:sz="0" w:space="0" w:color="auto"/>
            <w:bottom w:val="none" w:sz="0" w:space="0" w:color="auto"/>
            <w:right w:val="none" w:sz="0" w:space="0" w:color="auto"/>
          </w:divBdr>
        </w:div>
        <w:div w:id="1031078190">
          <w:marLeft w:val="0"/>
          <w:marRight w:val="0"/>
          <w:marTop w:val="0"/>
          <w:marBottom w:val="150"/>
          <w:divBdr>
            <w:top w:val="none" w:sz="0" w:space="0" w:color="auto"/>
            <w:left w:val="none" w:sz="0" w:space="0" w:color="auto"/>
            <w:bottom w:val="none" w:sz="0" w:space="0" w:color="auto"/>
            <w:right w:val="none" w:sz="0" w:space="0" w:color="auto"/>
          </w:divBdr>
        </w:div>
        <w:div w:id="1110473035">
          <w:marLeft w:val="0"/>
          <w:marRight w:val="0"/>
          <w:marTop w:val="0"/>
          <w:marBottom w:val="150"/>
          <w:divBdr>
            <w:top w:val="none" w:sz="0" w:space="0" w:color="auto"/>
            <w:left w:val="none" w:sz="0" w:space="0" w:color="auto"/>
            <w:bottom w:val="none" w:sz="0" w:space="0" w:color="auto"/>
            <w:right w:val="none" w:sz="0" w:space="0" w:color="auto"/>
          </w:divBdr>
        </w:div>
        <w:div w:id="1226841221">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2024-02-27T09:41:00Z</dcterms:created>
  <dcterms:modified xsi:type="dcterms:W3CDTF">2024-02-27T09:41:00Z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iqtisodiy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manzili</w:name>
    <w:value w:hidden="false">
      <w:unit w:active="false"/>
    </w:value>
  </w:element>
  <w:element w:id="6" w:kind="variable" w:selector="check" w:type="string" w:valueMode="normal" w:required="false" w:groupID="4">
    <w:identifier xml:space="preserve">ID6</w:identifier>
    <w:name xml:space="preserve">Ariza beruvchi yuridik shaxs nomi yoki yakka tartibdagi tadbirkor (YaTT)ning F.I.Osi</w:name>
    <w:comment xml:space="preserve">Izoh: Masalan “Nur” MJCH yoki YATT A.Aliyev</w:comment>
    <w:value w:hidden="false">
      <w:unit w:active="false"/>
    </w:value>
  </w:element>
  <w:element w:id="7" w:kind="variable" w:selector="check" w:type="string" w:valueMode="normal" w:required="false" w:groupID="4">
    <w:identifier xml:space="preserve">ID7</w:identifier>
    <w:name xml:space="preserve">Ariza beruvchi yuridik shaxs rahbarining yoki yakka tartibdagi tadbirkor (YaTT)ning F.I.Osi</w:name>
    <w:value w:hidden="false">
      <w:unit w:active="false"/>
    </w:value>
  </w:element>
  <w:element w:id="8" w:kind="category" w:selector="check" w:type="string" w:valueMode="normal" w:required="false">
    <w:identifier xml:space="preserve">ID8</w:identifier>
    <w:name xml:space="preserve">Ariza mazmuni</w:name>
    <w:value w:hidden="true">
      <w:unit w:active="false"/>
    </w:value>
  </w:element>
  <w:element w:id="9" w:kind="variable" w:selector="check" w:type="string" w:valueMode="normal" w:required="false" w:groupID="8">
    <w:identifier xml:space="preserve">ID9</w:identifier>
    <w:name xml:space="preserve">Ish bo‘yicha da’vogar</w:name>
    <w:value w:hidden="false">
      <w:unit w:active="false"/>
    </w:value>
  </w:element>
  <w:element w:id="10" w:kind="variable" w:selector="check" w:type="string" w:valueMode="normal" w:required="false" w:groupID="8">
    <w:identifier xml:space="preserve">ID10</w:identifier>
    <w:name xml:space="preserve">Ish bo‘yicha javogar</w:name>
    <w:value w:hidden="false">
      <w:unit w:active="false"/>
    </w:value>
  </w:element>
  <w:element w:id="11" w:kind="variable" w:selector="check" w:type="string" w:valueMode="normal" w:required="false" w:groupID="8">
    <w:identifier xml:space="preserve">ID11</w:identifier>
    <w:name xml:space="preserve">Da’vo ariza mazmuni</w:name>
    <w:value w:hidden="false">
      <w:unit w:active="false"/>
    </w:value>
  </w:element>
  <w:element w:id="12" w:kind="variable" w:selector="check" w:type="string" w:valueMode="normal" w:required="false" w:groupID="8">
    <w:identifier xml:space="preserve">ID12</w:identifier>
    <w:name xml:space="preserve">Ish bo‘yicha hal qiluv qarori qabul qilingan sana</w:name>
    <w:value w:hidden="false">
      <w:unit w:active="false"/>
    </w:value>
  </w:element>
  <w:element w:id="13" w:kind="variable" w:selector="check" w:type="string" w:valueMode="normal" w:required="false" w:groupID="8">
    <w:identifier xml:space="preserve">ID13</w:identifier>
    <w:name xml:space="preserve">Hal qiluv qaroriga asosan ijro varaqasi berilgan sana</w:name>
    <w:value w:hidden="false">
      <w:unit w:active="false"/>
    </w:value>
  </w:element>
  <w:element w:id="14" w:kind="variable" w:selector="check" w:type="string" w:valueMode="normal" w:required="false" w:groupID="8">
    <w:identifier xml:space="preserve">ID14</w:identifier>
    <w:name xml:space="preserve">Ijro varaqasi o‘z vaqtida ijroga taqdim etilmaganligining sabab(lar)i</w:name>
    <w:value w:hidden="false">
      <w:unit w:active="false"/>
    </w:value>
  </w:element>
  <w:element w:id="15" w:kind="variable" w:selector="check" w:type="string" w:valueMode="normal" w:required="false">
    <w:identifier xml:space="preserve">ID15</w:identifier>
    <w:name xml:space="preserve">Arizaga ilova qilinayotgan hujjatlar nomi</w:name>
    <w:value w:hidden="false">
      <w:unit w:active="false"/>
    </w:value>
  </w:element>
</w:structure>
</file>