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40"/>
        <w:gridCol w:w="4814"/>
      </w:tblGrid>
      <w:tr>
        <w:tc>
          <w:tcPr>
            <w:tcW w:w="4665" w:type="dxa"/>
            <w:shd w:fill="auto"/>
          </w:tcPr>
          <w:p>
            <w:pPr>
              <w:spacing w:after="0"/>
              <w:rPr>
                <w:sz w:val="28"/>
                <w:rFonts w:ascii="Times New Roman" w:hAnsi="Times New Roman"/>
              </w:rPr>
            </w:pPr>
            <w:r>
              <w:rPr>
                <w:color w:val="000000"/>
                <w:sz w:val="28"/>
                <w:rFonts w:ascii="Times New Roman" w:hAnsi="Times New Roman"/>
              </w:rPr>
              <w:t xml:space="preserve">                       </w:t>
            </w:r>
          </w:p>
        </w:tc>
        <w:tc>
          <w:tcPr>
            <w:tcW w:w="4906" w:type="dxa"/>
            <w:shd w:fill="auto"/>
          </w:tcPr>
          <w:p>
            <w:pPr>
              <w:jc w:val="both"/>
              <w:spacing w:after="0"/>
              <w:rPr>
                <w:b/>
                <w:sz w:val="28"/>
                <w:rFonts w:ascii="Times New Roman" w:hAnsi="Times New Roman"/>
              </w:rPr>
            </w:pPr>
            <w:r>
              <w:rPr>
                <w:b/>
                <w:sz w:val="28"/>
                <w:rFonts w:ascii="Times New Roman" w:hAnsi="Times New Roman"/>
              </w:rPr>
              <w:t xml:space="preserve">Iqtisodiy ishlar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iqtisodiy sudi nomi</w:t>
              <w:fldChar w:fldCharType="end"/>
            </w:r>
            <w:r>
              <w:rPr>
                <w:b/>
                <w:sz w:val="28"/>
                <w:rFonts w:ascii="Times New Roman" w:hAnsi="Times New Roman"/>
              </w:rPr>
              <w:t xml:space="preserve"> sudiga</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{"Y":5}</w:instrText>
              <w:fldChar w:fldCharType="separate"/>
              <w:t xml:space="preserve">Ariza beruvchi yuridik shaxsning nomi va tashkiliy huquqiy shakli </w:t>
            </w:r>
            <w:r>
              <w:rPr>
                <w:vanish w:val="false"/>
              </w:rPr>
              <w:fldChar w:fldCharType="end"/>
            </w:r>
            <w:r>
              <w:rPr>
                <w:b/>
                <w:sz w:val="28"/>
                <w:rFonts w:ascii="Times New Roman" w:hAnsi="Times New Roman"/>
              </w:rPr>
              <w:t xml:space="preserve">da yashovchi</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 yuridik shaxs rahbarining F.I.O.si</w:t>
              <w:fldChar w:fldCharType="end"/>
            </w:r>
            <w:r>
              <w:rPr>
                <w:b/>
                <w:sz w:val="28"/>
                <w:rFonts w:ascii="Times New Roman" w:hAnsi="Times New Roman"/>
              </w:rPr>
              <w:t>dan</w:t>
            </w:r>
          </w:p>
        </w:tc>
      </w:tr>
    </w:tbl>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 </w:t>
      </w:r>
    </w:p>
    <w:p>
      <w:pPr>
        <w:jc w:val="center"/>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Yo‘qolgan sud ishini tiklash to‘g‘risida </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pStyle w:val="a0"/>
        <w:jc w:val="both"/>
        <w:ind w:firstLine="709"/>
        <w:spacing w:after="0"/>
        <w:rPr>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sudi nomi</w:t>
        <w:fldChar w:fldCharType="end"/>
      </w:r>
      <w:r>
        <w:rPr>
          <w:sz w:val="28"/>
          <w:rFonts w:ascii="Times New Roman" w:hAnsi="Times New Roman"/>
        </w:rPr>
        <w:t xml:space="preserve"> sudiga da’vogar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Iqtisodiy ish bo‘yicha da’vogar tashkilotning nomi va tashkiliy huquqiy shakli</w:t>
        <w:fldChar w:fldCharType="end"/>
      </w:r>
      <w:r>
        <w:rPr>
          <w:sz w:val="28"/>
          <w:rFonts w:ascii="Times New Roman" w:hAnsi="Times New Roman"/>
        </w:rPr>
        <w:t xml:space="preserve">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Iqtisodiy ish bo‘yicha javobgar tashkilotning nomi va tashkiliy huquqiy shakli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bilan murojaat qilgan. </w:t>
      </w:r>
    </w:p>
    <w:p>
      <w:pPr>
        <w:pStyle w:val="a0"/>
        <w:jc w:val="both"/>
        <w:ind w:firstLine="709"/>
        <w:spacing w:after="0"/>
        <w:rPr>
          <w:sz w:val="28"/>
          <w:rFonts w:ascii="Times New Roman" w:hAnsi="Times New Roman"/>
        </w:rPr>
      </w:pPr>
      <w:r>
        <w:rPr>
          <w:sz w:val="28"/>
          <w:rFonts w:ascii="Times New Roman" w:hAnsi="Times New Roman"/>
        </w:rPr>
        <w:t xml:space="preserve">Mazkur ish sudya </w:t>
      </w:r>
      <w:r>
        <w:rPr>
          <w:vanish w:val="false"/>
          <w:sz w:val="28"/>
          <w:rFonts w:ascii="Times New Roman" w:hAnsi="Times New Roman"/>
        </w:rPr>
        <w:fldChar w:fldCharType="begin"/>
        <w:instrText xml:space="preserve">X {"Y":11}</w:instrText>
        <w:fldChar w:fldCharType="separate"/>
        <w:t xml:space="preserve">Iqtisodiy ishni ko‘rib chiqayotgan sudyaning F.I.O.si</w:t>
      </w:r>
      <w:r>
        <w:rPr>
          <w:vanish w:val="false"/>
        </w:rPr>
        <w:fldChar w:fldCharType="end"/>
      </w:r>
      <w:r>
        <w:rPr>
          <w:sz w:val="28"/>
          <w:rFonts w:ascii="Times New Roman" w:hAnsi="Times New Roman"/>
        </w:rPr>
        <w:t xml:space="preserve">ning yurituviga berilgan. Ushbu ishni ko‘rib chiqish boshlangan. Biroq keyinchalik sud ushbu ish yo‘qolganligini, uni tiklash to‘g‘risida taraflar ariza berishi mumkinligi bildirildi. </w:t>
      </w:r>
    </w:p>
    <w:p>
      <w:pPr>
        <w:pStyle w:val="a0"/>
        <w:jc w:val="both"/>
        <w:ind w:firstLine="709"/>
        <w:spacing w:after="0"/>
        <w:rPr>
          <w:color w:val="000000"/>
          <w:sz w:val="28"/>
          <w:rFonts w:ascii="Times New Roman" w:hAnsi="Times New Roman"/>
        </w:rPr>
      </w:pPr>
      <w:r>
        <w:rPr>
          <w:color w:val="000000"/>
          <w:sz w:val="28"/>
          <w:rFonts w:ascii="Times New Roman" w:hAnsi="Times New Roman"/>
        </w:rPr>
        <w:t xml:space="preserve">O‘zbekiston Respublikasi Iqtisodiy protsessual kodeksining </w:t>
        <w:br/>
        <w:t xml:space="preserve">233-moddasiga ko‘ra, iqtisodiy ish bo‘yicha yo‘qolgan sud ishi ishda ishtirok etuvchi shaxslarning, prokurorning, davlat ijrochisining arizasiga, shuningdek sudning tashabbusiga ko‘ra sud tomonidan tiklanishi mumkin.</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Yo‘qolgan sud ishini yuritish to‘liq tiklanadi yoxud uning sud fikriga ko‘ra tiklanishi zarur bo‘lgan qismi tiklanadi. Sudning hal qiluv qarori yoki ish yuritishni tugatish to‘g‘risidagi ajrimi, agar ular ish yuzasidan chiqarilgan bo‘lsa, albatta tiklanishi shart. Arizachi yo‘qolgan sud ishini yoki ijro ishini yuritishni tiklash to‘g‘risidagi ishni ko‘rishda sud tomonidan sarf qilingan sud xarajatlarini to‘lashdan ozod qilinadi. </w:t>
      </w:r>
    </w:p>
    <w:p>
      <w:pPr>
        <w:pStyle w:val="a0"/>
        <w:jc w:val="both"/>
        <w:ind w:firstLine="709"/>
        <w:spacing w:after="0"/>
        <w:rPr>
          <w:color w:val="000000"/>
          <w:sz w:val="28"/>
          <w:rFonts w:ascii="Times New Roman" w:hAnsi="Times New Roman"/>
        </w:rPr>
      </w:pPr>
      <w:r>
        <w:rPr>
          <w:sz w:val="28"/>
          <w:rFonts w:ascii="Times New Roman" w:hAnsi="Times New Roman"/>
        </w:rPr>
        <w:t xml:space="preserve">Mazkur Kodeksning 234-moddasiga ko‘ra, y</w:t>
      </w:r>
      <w:r>
        <w:rPr>
          <w:color w:val="000000"/>
          <w:sz w:val="28"/>
          <w:rFonts w:ascii="Times New Roman" w:hAnsi="Times New Roman"/>
        </w:rPr>
        <w:t xml:space="preserve">o‘qolgan sud ishini yuritishni tiklash to‘g‘risidagi ariza ishni ko‘rgan sudga, yo‘qolgan ijro ishini yuritishni tiklash to‘g‘risidagi ariza esa ijro etish joyidagi sudga beriladi va tegishli sud tomonidan ko‘rib chiqiladi. </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Iqtisodiy protsessual kodeksining 13, 20, 235-238-moddalariga asoslanib,</w:t>
      </w:r>
    </w:p>
    <w:p>
      <w:pPr>
        <w:jc w:val="both"/>
        <w:ind w:firstLine="709"/>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sz w:val="28"/>
          <w:rFonts w:ascii="Times New Roman" w:hAnsi="Times New Roman"/>
        </w:rPr>
        <w:t xml:space="preserve">Da’vogar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Iqtisodiy ish bo‘yicha da’vogar tashkilotning nomi va tashkiliy huquqiy shakli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Iqtisodiy ish bo‘yicha javobgar tashkilotning nomi va tashkiliy huquqiy shakli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bo‘yicha yuritilib, yo‘qolgan iqtisodiy ishni tiklashingizni.</w:t>
      </w:r>
    </w:p>
    <w:p>
      <w:pPr>
        <w:jc w:val="center"/>
        <w:spacing w:after="0"/>
        <w:rPr>
          <w:color w:val="000000"/>
          <w:sz w:val="28"/>
          <w:rFonts w:ascii="Times New Roman" w:hAnsi="Times New Roman"/>
        </w:rPr>
      </w:pPr>
    </w:p>
    <w:p>
      <w:pPr>
        <w:pStyle w:val="ConsPlusNonformat"/>
        <w:jc w:val="both"/>
        <w:ind w:firstLine="567"/>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Arizaga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 yuridik shaxs rahbarining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r>
        <w:rPr>
          <w:b/>
          <w:sz w:val="28"/>
          <w:rFonts w:ascii="Times New Roman" w:hAnsi="Times New Roman"/>
        </w:rPr>
        <w:t xml:space="preserve">           </w:t>
      </w: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sectPr>
      <w:pgSz w:w="11906" w:h="16838"/>
      <w:pgMar w:left="1701" w:right="851" w:top="1134" w:bottom="1134"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C80" w:rsidRDefault="00856C80">
      <w:pPr>
        <w:spacing w:after="0" w:line="240" w:lineRule="auto"/>
      </w:pPr>
      <w:r>
        <w:separator/>
      </w:r>
    </w:p>
  </w:endnote>
  <w:endnote w:type="continuationSeparator" w:id="0">
    <w:p w:rsidR="00856C80" w:rsidRDefault="00856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C80" w:rsidRDefault="00856C80">
      <w:pPr>
        <w:spacing w:after="0" w:line="240" w:lineRule="auto"/>
      </w:pPr>
      <w:r>
        <w:separator/>
      </w:r>
    </w:p>
  </w:footnote>
  <w:footnote w:type="continuationSeparator" w:id="0">
    <w:p w:rsidR="00856C80" w:rsidRDefault="00856C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33A1A"/>
    <w:rsid w:val="00041EBD"/>
    <w:rsid w:val="00097AA3"/>
    <w:rsid w:val="000B1AD9"/>
    <w:rsid w:val="000B33E1"/>
    <w:rsid w:val="000D3150"/>
    <w:rsid w:val="000D4E2D"/>
    <w:rsid w:val="000F1442"/>
    <w:rsid w:val="00100B18"/>
    <w:rsid w:val="00110EE3"/>
    <w:rsid w:val="001236EB"/>
    <w:rsid w:val="001247B5"/>
    <w:rsid w:val="0012785F"/>
    <w:rsid w:val="001368F0"/>
    <w:rsid w:val="00141874"/>
    <w:rsid w:val="00144B07"/>
    <w:rsid w:val="00165B41"/>
    <w:rsid w:val="00180365"/>
    <w:rsid w:val="00182DFC"/>
    <w:rsid w:val="00197648"/>
    <w:rsid w:val="001B7235"/>
    <w:rsid w:val="001D5F1F"/>
    <w:rsid w:val="00207338"/>
    <w:rsid w:val="00232DCD"/>
    <w:rsid w:val="002355AC"/>
    <w:rsid w:val="002479CF"/>
    <w:rsid w:val="002509AB"/>
    <w:rsid w:val="002704EA"/>
    <w:rsid w:val="00271F89"/>
    <w:rsid w:val="0029035A"/>
    <w:rsid w:val="002A6E9F"/>
    <w:rsid w:val="002B00C8"/>
    <w:rsid w:val="002B65F7"/>
    <w:rsid w:val="002C6C2E"/>
    <w:rsid w:val="002D3093"/>
    <w:rsid w:val="002D6B90"/>
    <w:rsid w:val="00340C52"/>
    <w:rsid w:val="0036585A"/>
    <w:rsid w:val="00377985"/>
    <w:rsid w:val="0039185E"/>
    <w:rsid w:val="003A69A8"/>
    <w:rsid w:val="003E2C3D"/>
    <w:rsid w:val="003E4895"/>
    <w:rsid w:val="00431198"/>
    <w:rsid w:val="00440B78"/>
    <w:rsid w:val="00453F38"/>
    <w:rsid w:val="00455C97"/>
    <w:rsid w:val="004B25AA"/>
    <w:rsid w:val="004E592E"/>
    <w:rsid w:val="004E7565"/>
    <w:rsid w:val="004F089F"/>
    <w:rsid w:val="004F54B1"/>
    <w:rsid w:val="004F6173"/>
    <w:rsid w:val="00506473"/>
    <w:rsid w:val="00507BE9"/>
    <w:rsid w:val="0051251A"/>
    <w:rsid w:val="0051761D"/>
    <w:rsid w:val="00523079"/>
    <w:rsid w:val="00573D5F"/>
    <w:rsid w:val="00586816"/>
    <w:rsid w:val="005A1748"/>
    <w:rsid w:val="005A3316"/>
    <w:rsid w:val="005A7865"/>
    <w:rsid w:val="005B2C53"/>
    <w:rsid w:val="005B5529"/>
    <w:rsid w:val="005B5749"/>
    <w:rsid w:val="005F1B44"/>
    <w:rsid w:val="005F79F4"/>
    <w:rsid w:val="006124AC"/>
    <w:rsid w:val="00627ABD"/>
    <w:rsid w:val="0063313C"/>
    <w:rsid w:val="0063696E"/>
    <w:rsid w:val="00651200"/>
    <w:rsid w:val="006576BC"/>
    <w:rsid w:val="0067773D"/>
    <w:rsid w:val="00680D9A"/>
    <w:rsid w:val="0069340B"/>
    <w:rsid w:val="006A4F4F"/>
    <w:rsid w:val="006A5926"/>
    <w:rsid w:val="006D5597"/>
    <w:rsid w:val="0071098A"/>
    <w:rsid w:val="0071193D"/>
    <w:rsid w:val="00715654"/>
    <w:rsid w:val="00732CA6"/>
    <w:rsid w:val="00740520"/>
    <w:rsid w:val="007B2732"/>
    <w:rsid w:val="007C582A"/>
    <w:rsid w:val="007E3278"/>
    <w:rsid w:val="00811E25"/>
    <w:rsid w:val="00822839"/>
    <w:rsid w:val="00842224"/>
    <w:rsid w:val="00856C80"/>
    <w:rsid w:val="008637E2"/>
    <w:rsid w:val="0087634C"/>
    <w:rsid w:val="00876647"/>
    <w:rsid w:val="0087799D"/>
    <w:rsid w:val="008A1FBB"/>
    <w:rsid w:val="008B2275"/>
    <w:rsid w:val="008D43E0"/>
    <w:rsid w:val="009501CD"/>
    <w:rsid w:val="00971936"/>
    <w:rsid w:val="0098475C"/>
    <w:rsid w:val="009C0CD8"/>
    <w:rsid w:val="009C1BBE"/>
    <w:rsid w:val="009E6658"/>
    <w:rsid w:val="00A13425"/>
    <w:rsid w:val="00A36D72"/>
    <w:rsid w:val="00A54CE1"/>
    <w:rsid w:val="00A9514D"/>
    <w:rsid w:val="00AA2DA5"/>
    <w:rsid w:val="00AD4513"/>
    <w:rsid w:val="00AF2B3B"/>
    <w:rsid w:val="00B01ED2"/>
    <w:rsid w:val="00B02C51"/>
    <w:rsid w:val="00B104B1"/>
    <w:rsid w:val="00B11900"/>
    <w:rsid w:val="00B25268"/>
    <w:rsid w:val="00B337A0"/>
    <w:rsid w:val="00B6528E"/>
    <w:rsid w:val="00BD5959"/>
    <w:rsid w:val="00BE75DE"/>
    <w:rsid w:val="00BF4FE4"/>
    <w:rsid w:val="00C62C04"/>
    <w:rsid w:val="00C91039"/>
    <w:rsid w:val="00CA1AA8"/>
    <w:rsid w:val="00CB0BA6"/>
    <w:rsid w:val="00CB6AFB"/>
    <w:rsid w:val="00CC1796"/>
    <w:rsid w:val="00CC4FAE"/>
    <w:rsid w:val="00CD0BFE"/>
    <w:rsid w:val="00CE2099"/>
    <w:rsid w:val="00CF29E1"/>
    <w:rsid w:val="00D05289"/>
    <w:rsid w:val="00D0702B"/>
    <w:rsid w:val="00D1129B"/>
    <w:rsid w:val="00D42C38"/>
    <w:rsid w:val="00D43394"/>
    <w:rsid w:val="00D56F17"/>
    <w:rsid w:val="00D638DD"/>
    <w:rsid w:val="00DA3FE3"/>
    <w:rsid w:val="00DA7C53"/>
    <w:rsid w:val="00DE351D"/>
    <w:rsid w:val="00E11AC6"/>
    <w:rsid w:val="00E12CEF"/>
    <w:rsid w:val="00E1486A"/>
    <w:rsid w:val="00E23D7F"/>
    <w:rsid w:val="00E43D1F"/>
    <w:rsid w:val="00E82E08"/>
    <w:rsid w:val="00E83CFA"/>
    <w:rsid w:val="00EA52A9"/>
    <w:rsid w:val="00EA5BFB"/>
    <w:rsid w:val="00EB3666"/>
    <w:rsid w:val="00EB6F3E"/>
    <w:rsid w:val="00ED3EA3"/>
    <w:rsid w:val="00EF1B5D"/>
    <w:rsid w:val="00F140F7"/>
    <w:rsid w:val="00F4089E"/>
    <w:rsid w:val="00F50769"/>
    <w:rsid w:val="00F572D3"/>
    <w:rsid w:val="00F67D3B"/>
    <w:rsid w:val="00F95475"/>
    <w:rsid w:val="00F95D35"/>
    <w:rsid w:val="00FA13B1"/>
    <w:rsid w:val="00FA320B"/>
    <w:rsid w:val="00FB3410"/>
    <w:rsid w:val="00FC26A5"/>
    <w:rsid w:val="00FF5119"/>
    <w:rsid w:val="00FF51EF"/>
    <w:rsid w:val="00FF6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4F688C16-1B81-4E87-9886-E729DEB6E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1D5F1F"/>
    <w:pPr>
      <w:suppressAutoHyphens w:val="0"/>
      <w:ind w:left="720"/>
      <w:contextualSpacing/>
    </w:pPr>
    <w:rPr>
      <w:rFonts w:eastAsia="Times New Roman"/>
      <w:lang w:eastAsia="ru-RU"/>
    </w:rPr>
  </w:style>
  <w:style w:type="character" w:customStyle="1" w:styleId="clauseprfx">
    <w:name w:val="clauseprfx"/>
    <w:rsid w:val="00A54CE1"/>
  </w:style>
  <w:style w:type="character" w:customStyle="1" w:styleId="clausesuff">
    <w:name w:val="clausesuff"/>
    <w:rsid w:val="00A54CE1"/>
  </w:style>
  <w:style w:type="paragraph" w:customStyle="1" w:styleId="ConsPlusNonformat">
    <w:name w:val="ConsPlusNonformat"/>
    <w:uiPriority w:val="99"/>
    <w:rsid w:val="009E6658"/>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229296">
      <w:bodyDiv w:val="1"/>
      <w:marLeft w:val="0"/>
      <w:marRight w:val="0"/>
      <w:marTop w:val="0"/>
      <w:marBottom w:val="0"/>
      <w:divBdr>
        <w:top w:val="none" w:sz="0" w:space="0" w:color="auto"/>
        <w:left w:val="none" w:sz="0" w:space="0" w:color="auto"/>
        <w:bottom w:val="none" w:sz="0" w:space="0" w:color="auto"/>
        <w:right w:val="none" w:sz="0" w:space="0" w:color="auto"/>
      </w:divBdr>
      <w:divsChild>
        <w:div w:id="137262362">
          <w:marLeft w:val="0"/>
          <w:marRight w:val="0"/>
          <w:marTop w:val="0"/>
          <w:marBottom w:val="150"/>
          <w:divBdr>
            <w:top w:val="none" w:sz="0" w:space="0" w:color="auto"/>
            <w:left w:val="none" w:sz="0" w:space="0" w:color="auto"/>
            <w:bottom w:val="none" w:sz="0" w:space="0" w:color="auto"/>
            <w:right w:val="none" w:sz="0" w:space="0" w:color="auto"/>
          </w:divBdr>
        </w:div>
        <w:div w:id="448669504">
          <w:marLeft w:val="0"/>
          <w:marRight w:val="0"/>
          <w:marTop w:val="0"/>
          <w:marBottom w:val="150"/>
          <w:divBdr>
            <w:top w:val="none" w:sz="0" w:space="0" w:color="auto"/>
            <w:left w:val="none" w:sz="0" w:space="0" w:color="auto"/>
            <w:bottom w:val="none" w:sz="0" w:space="0" w:color="auto"/>
            <w:right w:val="none" w:sz="0" w:space="0" w:color="auto"/>
          </w:divBdr>
        </w:div>
        <w:div w:id="497426202">
          <w:marLeft w:val="0"/>
          <w:marRight w:val="0"/>
          <w:marTop w:val="0"/>
          <w:marBottom w:val="150"/>
          <w:divBdr>
            <w:top w:val="none" w:sz="0" w:space="0" w:color="auto"/>
            <w:left w:val="none" w:sz="0" w:space="0" w:color="auto"/>
            <w:bottom w:val="none" w:sz="0" w:space="0" w:color="auto"/>
            <w:right w:val="none" w:sz="0" w:space="0" w:color="auto"/>
          </w:divBdr>
        </w:div>
        <w:div w:id="1075473324">
          <w:marLeft w:val="0"/>
          <w:marRight w:val="0"/>
          <w:marTop w:val="0"/>
          <w:marBottom w:val="150"/>
          <w:divBdr>
            <w:top w:val="none" w:sz="0" w:space="0" w:color="auto"/>
            <w:left w:val="none" w:sz="0" w:space="0" w:color="auto"/>
            <w:bottom w:val="none" w:sz="0" w:space="0" w:color="auto"/>
            <w:right w:val="none" w:sz="0" w:space="0" w:color="auto"/>
          </w:divBdr>
        </w:div>
        <w:div w:id="1221476320">
          <w:marLeft w:val="0"/>
          <w:marRight w:val="0"/>
          <w:marTop w:val="60"/>
          <w:marBottom w:val="60"/>
          <w:divBdr>
            <w:top w:val="none" w:sz="0" w:space="0" w:color="auto"/>
            <w:left w:val="none" w:sz="0" w:space="0" w:color="auto"/>
            <w:bottom w:val="none" w:sz="0" w:space="0" w:color="auto"/>
            <w:right w:val="none" w:sz="0" w:space="0" w:color="auto"/>
          </w:divBdr>
        </w:div>
        <w:div w:id="1362784304">
          <w:marLeft w:val="0"/>
          <w:marRight w:val="0"/>
          <w:marTop w:val="0"/>
          <w:marBottom w:val="150"/>
          <w:divBdr>
            <w:top w:val="none" w:sz="0" w:space="0" w:color="auto"/>
            <w:left w:val="none" w:sz="0" w:space="0" w:color="auto"/>
            <w:bottom w:val="none" w:sz="0" w:space="0" w:color="auto"/>
            <w:right w:val="none" w:sz="0" w:space="0" w:color="auto"/>
          </w:divBdr>
        </w:div>
      </w:divsChild>
    </w:div>
    <w:div w:id="559754108">
      <w:bodyDiv w:val="1"/>
      <w:marLeft w:val="0"/>
      <w:marRight w:val="0"/>
      <w:marTop w:val="0"/>
      <w:marBottom w:val="0"/>
      <w:divBdr>
        <w:top w:val="none" w:sz="0" w:space="0" w:color="auto"/>
        <w:left w:val="none" w:sz="0" w:space="0" w:color="auto"/>
        <w:bottom w:val="none" w:sz="0" w:space="0" w:color="auto"/>
        <w:right w:val="none" w:sz="0" w:space="0" w:color="auto"/>
      </w:divBdr>
      <w:divsChild>
        <w:div w:id="45376915">
          <w:marLeft w:val="0"/>
          <w:marRight w:val="0"/>
          <w:marTop w:val="0"/>
          <w:marBottom w:val="150"/>
          <w:divBdr>
            <w:top w:val="none" w:sz="0" w:space="0" w:color="auto"/>
            <w:left w:val="none" w:sz="0" w:space="0" w:color="auto"/>
            <w:bottom w:val="none" w:sz="0" w:space="0" w:color="auto"/>
            <w:right w:val="none" w:sz="0" w:space="0" w:color="auto"/>
          </w:divBdr>
        </w:div>
        <w:div w:id="387605224">
          <w:marLeft w:val="0"/>
          <w:marRight w:val="0"/>
          <w:marTop w:val="0"/>
          <w:marBottom w:val="150"/>
          <w:divBdr>
            <w:top w:val="none" w:sz="0" w:space="0" w:color="auto"/>
            <w:left w:val="none" w:sz="0" w:space="0" w:color="auto"/>
            <w:bottom w:val="none" w:sz="0" w:space="0" w:color="auto"/>
            <w:right w:val="none" w:sz="0" w:space="0" w:color="auto"/>
          </w:divBdr>
        </w:div>
        <w:div w:id="1089425167">
          <w:marLeft w:val="0"/>
          <w:marRight w:val="0"/>
          <w:marTop w:val="0"/>
          <w:marBottom w:val="150"/>
          <w:divBdr>
            <w:top w:val="none" w:sz="0" w:space="0" w:color="auto"/>
            <w:left w:val="none" w:sz="0" w:space="0" w:color="auto"/>
            <w:bottom w:val="none" w:sz="0" w:space="0" w:color="auto"/>
            <w:right w:val="none" w:sz="0" w:space="0" w:color="auto"/>
          </w:divBdr>
        </w:div>
        <w:div w:id="1238396787">
          <w:marLeft w:val="0"/>
          <w:marRight w:val="0"/>
          <w:marTop w:val="0"/>
          <w:marBottom w:val="150"/>
          <w:divBdr>
            <w:top w:val="none" w:sz="0" w:space="0" w:color="auto"/>
            <w:left w:val="none" w:sz="0" w:space="0" w:color="auto"/>
            <w:bottom w:val="none" w:sz="0" w:space="0" w:color="auto"/>
            <w:right w:val="none" w:sz="0" w:space="0" w:color="auto"/>
          </w:divBdr>
        </w:div>
        <w:div w:id="1668090776">
          <w:marLeft w:val="0"/>
          <w:marRight w:val="0"/>
          <w:marTop w:val="0"/>
          <w:marBottom w:val="150"/>
          <w:divBdr>
            <w:top w:val="none" w:sz="0" w:space="0" w:color="auto"/>
            <w:left w:val="none" w:sz="0" w:space="0" w:color="auto"/>
            <w:bottom w:val="none" w:sz="0" w:space="0" w:color="auto"/>
            <w:right w:val="none" w:sz="0" w:space="0" w:color="auto"/>
          </w:divBdr>
        </w:div>
        <w:div w:id="1823036516">
          <w:marLeft w:val="0"/>
          <w:marRight w:val="0"/>
          <w:marTop w:val="120"/>
          <w:marBottom w:val="120"/>
          <w:divBdr>
            <w:top w:val="none" w:sz="0" w:space="0" w:color="auto"/>
            <w:left w:val="none" w:sz="0" w:space="0" w:color="auto"/>
            <w:bottom w:val="none" w:sz="0" w:space="0" w:color="auto"/>
            <w:right w:val="none" w:sz="0" w:space="0" w:color="auto"/>
          </w:divBdr>
        </w:div>
        <w:div w:id="1824351098">
          <w:marLeft w:val="0"/>
          <w:marRight w:val="0"/>
          <w:marTop w:val="0"/>
          <w:marBottom w:val="150"/>
          <w:divBdr>
            <w:top w:val="none" w:sz="0" w:space="0" w:color="auto"/>
            <w:left w:val="none" w:sz="0" w:space="0" w:color="auto"/>
            <w:bottom w:val="none" w:sz="0" w:space="0" w:color="auto"/>
            <w:right w:val="none" w:sz="0" w:space="0" w:color="auto"/>
          </w:divBdr>
        </w:div>
      </w:divsChild>
    </w:div>
    <w:div w:id="1548184727">
      <w:bodyDiv w:val="1"/>
      <w:marLeft w:val="0"/>
      <w:marRight w:val="0"/>
      <w:marTop w:val="0"/>
      <w:marBottom w:val="0"/>
      <w:divBdr>
        <w:top w:val="none" w:sz="0" w:space="0" w:color="auto"/>
        <w:left w:val="none" w:sz="0" w:space="0" w:color="auto"/>
        <w:bottom w:val="none" w:sz="0" w:space="0" w:color="auto"/>
        <w:right w:val="none" w:sz="0" w:space="0" w:color="auto"/>
      </w:divBdr>
      <w:divsChild>
        <w:div w:id="215357841">
          <w:marLeft w:val="0"/>
          <w:marRight w:val="0"/>
          <w:marTop w:val="0"/>
          <w:marBottom w:val="150"/>
          <w:divBdr>
            <w:top w:val="none" w:sz="0" w:space="0" w:color="auto"/>
            <w:left w:val="none" w:sz="0" w:space="0" w:color="auto"/>
            <w:bottom w:val="none" w:sz="0" w:space="0" w:color="auto"/>
            <w:right w:val="none" w:sz="0" w:space="0" w:color="auto"/>
          </w:divBdr>
        </w:div>
        <w:div w:id="704067031">
          <w:marLeft w:val="0"/>
          <w:marRight w:val="0"/>
          <w:marTop w:val="120"/>
          <w:marBottom w:val="120"/>
          <w:divBdr>
            <w:top w:val="none" w:sz="0" w:space="0" w:color="auto"/>
            <w:left w:val="none" w:sz="0" w:space="0" w:color="auto"/>
            <w:bottom w:val="none" w:sz="0" w:space="0" w:color="auto"/>
            <w:right w:val="none" w:sz="0" w:space="0" w:color="auto"/>
          </w:divBdr>
        </w:div>
      </w:divsChild>
    </w:div>
    <w:div w:id="1742870999">
      <w:bodyDiv w:val="1"/>
      <w:marLeft w:val="0"/>
      <w:marRight w:val="0"/>
      <w:marTop w:val="0"/>
      <w:marBottom w:val="0"/>
      <w:divBdr>
        <w:top w:val="none" w:sz="0" w:space="0" w:color="auto"/>
        <w:left w:val="none" w:sz="0" w:space="0" w:color="auto"/>
        <w:bottom w:val="none" w:sz="0" w:space="0" w:color="auto"/>
        <w:right w:val="none" w:sz="0" w:space="0" w:color="auto"/>
      </w:divBdr>
      <w:divsChild>
        <w:div w:id="299727373">
          <w:marLeft w:val="0"/>
          <w:marRight w:val="0"/>
          <w:marTop w:val="0"/>
          <w:marBottom w:val="150"/>
          <w:divBdr>
            <w:top w:val="none" w:sz="0" w:space="0" w:color="auto"/>
            <w:left w:val="none" w:sz="0" w:space="0" w:color="auto"/>
            <w:bottom w:val="none" w:sz="0" w:space="0" w:color="auto"/>
            <w:right w:val="none" w:sz="0" w:space="0" w:color="auto"/>
          </w:divBdr>
        </w:div>
        <w:div w:id="337661137">
          <w:marLeft w:val="0"/>
          <w:marRight w:val="0"/>
          <w:marTop w:val="0"/>
          <w:marBottom w:val="150"/>
          <w:divBdr>
            <w:top w:val="none" w:sz="0" w:space="0" w:color="auto"/>
            <w:left w:val="none" w:sz="0" w:space="0" w:color="auto"/>
            <w:bottom w:val="none" w:sz="0" w:space="0" w:color="auto"/>
            <w:right w:val="none" w:sz="0" w:space="0" w:color="auto"/>
          </w:divBdr>
        </w:div>
        <w:div w:id="559513286">
          <w:marLeft w:val="0"/>
          <w:marRight w:val="0"/>
          <w:marTop w:val="0"/>
          <w:marBottom w:val="150"/>
          <w:divBdr>
            <w:top w:val="none" w:sz="0" w:space="0" w:color="auto"/>
            <w:left w:val="none" w:sz="0" w:space="0" w:color="auto"/>
            <w:bottom w:val="none" w:sz="0" w:space="0" w:color="auto"/>
            <w:right w:val="none" w:sz="0" w:space="0" w:color="auto"/>
          </w:divBdr>
        </w:div>
        <w:div w:id="756361647">
          <w:marLeft w:val="0"/>
          <w:marRight w:val="0"/>
          <w:marTop w:val="120"/>
          <w:marBottom w:val="120"/>
          <w:divBdr>
            <w:top w:val="none" w:sz="0" w:space="0" w:color="auto"/>
            <w:left w:val="none" w:sz="0" w:space="0" w:color="auto"/>
            <w:bottom w:val="none" w:sz="0" w:space="0" w:color="auto"/>
            <w:right w:val="none" w:sz="0" w:space="0" w:color="auto"/>
          </w:divBdr>
        </w:div>
      </w:divsChild>
    </w:div>
    <w:div w:id="1910310416">
      <w:bodyDiv w:val="1"/>
      <w:marLeft w:val="0"/>
      <w:marRight w:val="0"/>
      <w:marTop w:val="0"/>
      <w:marBottom w:val="0"/>
      <w:divBdr>
        <w:top w:val="none" w:sz="0" w:space="0" w:color="auto"/>
        <w:left w:val="none" w:sz="0" w:space="0" w:color="auto"/>
        <w:bottom w:val="none" w:sz="0" w:space="0" w:color="auto"/>
        <w:right w:val="none" w:sz="0" w:space="0" w:color="auto"/>
      </w:divBdr>
      <w:divsChild>
        <w:div w:id="56248251">
          <w:marLeft w:val="0"/>
          <w:marRight w:val="0"/>
          <w:marTop w:val="120"/>
          <w:marBottom w:val="120"/>
          <w:divBdr>
            <w:top w:val="none" w:sz="0" w:space="0" w:color="auto"/>
            <w:left w:val="none" w:sz="0" w:space="0" w:color="auto"/>
            <w:bottom w:val="none" w:sz="0" w:space="0" w:color="auto"/>
            <w:right w:val="none" w:sz="0" w:space="0" w:color="auto"/>
          </w:divBdr>
        </w:div>
        <w:div w:id="86536413">
          <w:marLeft w:val="0"/>
          <w:marRight w:val="0"/>
          <w:marTop w:val="0"/>
          <w:marBottom w:val="150"/>
          <w:divBdr>
            <w:top w:val="none" w:sz="0" w:space="0" w:color="auto"/>
            <w:left w:val="none" w:sz="0" w:space="0" w:color="auto"/>
            <w:bottom w:val="none" w:sz="0" w:space="0" w:color="auto"/>
            <w:right w:val="none" w:sz="0" w:space="0" w:color="auto"/>
          </w:divBdr>
        </w:div>
        <w:div w:id="328213434">
          <w:marLeft w:val="0"/>
          <w:marRight w:val="0"/>
          <w:marTop w:val="120"/>
          <w:marBottom w:val="120"/>
          <w:divBdr>
            <w:top w:val="none" w:sz="0" w:space="0" w:color="auto"/>
            <w:left w:val="none" w:sz="0" w:space="0" w:color="auto"/>
            <w:bottom w:val="none" w:sz="0" w:space="0" w:color="auto"/>
            <w:right w:val="none" w:sz="0" w:space="0" w:color="auto"/>
          </w:divBdr>
        </w:div>
        <w:div w:id="975061757">
          <w:marLeft w:val="0"/>
          <w:marRight w:val="0"/>
          <w:marTop w:val="0"/>
          <w:marBottom w:val="150"/>
          <w:divBdr>
            <w:top w:val="none" w:sz="0" w:space="0" w:color="auto"/>
            <w:left w:val="none" w:sz="0" w:space="0" w:color="auto"/>
            <w:bottom w:val="none" w:sz="0" w:space="0" w:color="auto"/>
            <w:right w:val="none" w:sz="0" w:space="0" w:color="auto"/>
          </w:divBdr>
        </w:div>
        <w:div w:id="1604919174">
          <w:marLeft w:val="0"/>
          <w:marRight w:val="0"/>
          <w:marTop w:val="0"/>
          <w:marBottom w:val="150"/>
          <w:divBdr>
            <w:top w:val="none" w:sz="0" w:space="0" w:color="auto"/>
            <w:left w:val="none" w:sz="0" w:space="0" w:color="auto"/>
            <w:bottom w:val="none" w:sz="0" w:space="0" w:color="auto"/>
            <w:right w:val="none" w:sz="0" w:space="0" w:color="auto"/>
          </w:divBdr>
        </w:div>
        <w:div w:id="1881018189">
          <w:marLeft w:val="0"/>
          <w:marRight w:val="0"/>
          <w:marTop w:val="0"/>
          <w:marBottom w:val="150"/>
          <w:divBdr>
            <w:top w:val="none" w:sz="0" w:space="0" w:color="auto"/>
            <w:left w:val="none" w:sz="0" w:space="0" w:color="auto"/>
            <w:bottom w:val="none" w:sz="0" w:space="0" w:color="auto"/>
            <w:right w:val="none" w:sz="0" w:space="0" w:color="auto"/>
          </w:divBdr>
        </w:div>
        <w:div w:id="1945261399">
          <w:marLeft w:val="0"/>
          <w:marRight w:val="0"/>
          <w:marTop w:val="120"/>
          <w:marBottom w:val="120"/>
          <w:divBdr>
            <w:top w:val="none" w:sz="0" w:space="0" w:color="auto"/>
            <w:left w:val="none" w:sz="0" w:space="0" w:color="auto"/>
            <w:bottom w:val="none" w:sz="0" w:space="0" w:color="auto"/>
            <w:right w:val="none" w:sz="0" w:space="0" w:color="auto"/>
          </w:divBdr>
        </w:div>
        <w:div w:id="2040623666">
          <w:marLeft w:val="0"/>
          <w:marRight w:val="0"/>
          <w:marTop w:val="0"/>
          <w:marBottom w:val="150"/>
          <w:divBdr>
            <w:top w:val="none" w:sz="0" w:space="0" w:color="auto"/>
            <w:left w:val="none" w:sz="0" w:space="0" w:color="auto"/>
            <w:bottom w:val="none" w:sz="0" w:space="0" w:color="auto"/>
            <w:right w:val="none" w:sz="0" w:space="0" w:color="auto"/>
          </w:divBdr>
        </w:div>
        <w:div w:id="2116048418">
          <w:marLeft w:val="0"/>
          <w:marRight w:val="0"/>
          <w:marTop w:val="0"/>
          <w:marBottom w:val="150"/>
          <w:divBdr>
            <w:top w:val="none" w:sz="0" w:space="0" w:color="auto"/>
            <w:left w:val="none" w:sz="0" w:space="0" w:color="auto"/>
            <w:bottom w:val="none" w:sz="0" w:space="0" w:color="auto"/>
            <w:right w:val="none" w:sz="0" w:space="0" w:color="auto"/>
          </w:divBdr>
        </w:div>
        <w:div w:id="2129078057">
          <w:marLeft w:val="0"/>
          <w:marRight w:val="0"/>
          <w:marTop w:val="0"/>
          <w:marBottom w:val="150"/>
          <w:divBdr>
            <w:top w:val="none" w:sz="0" w:space="0" w:color="auto"/>
            <w:left w:val="none" w:sz="0" w:space="0" w:color="auto"/>
            <w:bottom w:val="none" w:sz="0" w:space="0" w:color="auto"/>
            <w:right w:val="none" w:sz="0" w:space="0" w:color="auto"/>
          </w:divBdr>
        </w:div>
      </w:divsChild>
    </w:div>
    <w:div w:id="2009206320">
      <w:bodyDiv w:val="1"/>
      <w:marLeft w:val="0"/>
      <w:marRight w:val="0"/>
      <w:marTop w:val="0"/>
      <w:marBottom w:val="0"/>
      <w:divBdr>
        <w:top w:val="none" w:sz="0" w:space="0" w:color="auto"/>
        <w:left w:val="none" w:sz="0" w:space="0" w:color="auto"/>
        <w:bottom w:val="none" w:sz="0" w:space="0" w:color="auto"/>
        <w:right w:val="none" w:sz="0" w:space="0" w:color="auto"/>
      </w:divBdr>
      <w:divsChild>
        <w:div w:id="747970021">
          <w:marLeft w:val="0"/>
          <w:marRight w:val="0"/>
          <w:marTop w:val="120"/>
          <w:marBottom w:val="120"/>
          <w:divBdr>
            <w:top w:val="none" w:sz="0" w:space="0" w:color="auto"/>
            <w:left w:val="none" w:sz="0" w:space="0" w:color="auto"/>
            <w:bottom w:val="none" w:sz="0" w:space="0" w:color="auto"/>
            <w:right w:val="none" w:sz="0" w:space="0" w:color="auto"/>
          </w:divBdr>
        </w:div>
        <w:div w:id="1726022252">
          <w:marLeft w:val="0"/>
          <w:marRight w:val="0"/>
          <w:marTop w:val="0"/>
          <w:marBottom w:val="150"/>
          <w:divBdr>
            <w:top w:val="none" w:sz="0" w:space="0" w:color="auto"/>
            <w:left w:val="none" w:sz="0" w:space="0" w:color="auto"/>
            <w:bottom w:val="none" w:sz="0" w:space="0" w:color="auto"/>
            <w:right w:val="none" w:sz="0" w:space="0" w:color="auto"/>
          </w:divBdr>
        </w:div>
        <w:div w:id="186640144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443</Words>
  <Characters>2531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2024-02-27T06:44:00Z</dcterms:created>
  <dcterms:modified xsi:type="dcterms:W3CDTF">2024-02-27T06:44:00Z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iqtisodiy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 yuridik shaxsning nomi va tashkiliy huquqiy shakli </w:name>
    <w:value w:hidden="false">
      <w:unit w:active="false"/>
    </w:value>
  </w:element>
  <w:element w:id="6" w:kind="variable" w:selector="check" w:type="string" w:valueMode="normal" w:required="false" w:groupID="4">
    <w:identifier xml:space="preserve">ID6</w:identifier>
    <w:name xml:space="preserve">Ariza beruvchi yuridik shaxs rahbarining F.I.O.si</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Iqtisodiy ish bo‘yicha da’vogar tashkilotning nomi va tashkiliy huquqiy shakli</w:name>
    <w:value w:hidden="false">
      <w:unit w:active="false"/>
    </w:value>
  </w:element>
  <w:element w:id="9" w:kind="variable" w:selector="check" w:type="string" w:valueMode="normal" w:required="false" w:groupID="7">
    <w:identifier xml:space="preserve">ID9</w:identifier>
    <w:name xml:space="preserve">Iqtisodiy ish bo‘yicha javobgar tashkilotning nomi va tashkiliy huquqiy shakli</w:name>
    <w:value w:hidden="false">
      <w:unit w:active="false"/>
    </w:value>
  </w:element>
  <w:element w:id="10" w:kind="variable" w:selector="check" w:type="string" w:valueMode="normal" w:required="false" w:groupID="7">
    <w:identifier xml:space="preserve">ID10</w:identifier>
    <w:name xml:space="preserve">Da’vo ariza mazmuni</w:name>
    <w:value w:hidden="false">
      <w:unit w:active="false"/>
    </w:value>
  </w:element>
  <w:element w:id="11" w:kind="variable" w:selector="check" w:type="string" w:valueMode="normal" w:required="false" w:groupID="7">
    <w:identifier xml:space="preserve">ID11</w:identifier>
    <w:name xml:space="preserve">Iqtisodiy ishni ko‘rib chiqayotgan sudyaning F.I.O.si</w:name>
    <w:value w:hidden="false">
      <w:unit w:active="false"/>
    </w:value>
  </w:element>
  <w:element w:id="12" w:kind="variable" w:selector="check" w:type="string" w:valueMode="normal" w:required="false" w:groupID="7">
    <w:identifier xml:space="preserve">ID12</w:identifier>
    <w:name xml:space="preserve">Arizaga ilova qilingan hujjatlar ro‘yxati</w:name>
    <w:value w:hidden="false">
      <w:unit w:active="false"/>
    </w:value>
  </w:element>
</w:structure>
</file>