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696"/>
        <w:gridCol w:w="3261"/>
        <w:gridCol w:w="4387"/>
      </w:tblGrid>
      <w:tr>
        <w:tc>
          <w:tcPr>
            <w:tcW w:w="1696" w:type="dxa"/>
          </w:tcPr>
          <w:p>
            <w:pPr>
              <w:jc w:val="center"/>
              <w:spacing w:before="15" w:line="276" w:lineRule="auto"/>
              <w:rPr>
                <w:b/>
                <w:sz w:val="26"/>
              </w:rPr>
            </w:pPr>
          </w:p>
        </w:tc>
        <w:tc>
          <w:tcPr>
            <w:tcW w:w="3261" w:type="dxa"/>
          </w:tcPr>
          <w:p>
            <w:pPr>
              <w:jc w:val="center"/>
              <w:spacing w:before="15" w:line="276" w:lineRule="auto"/>
              <w:rPr>
                <w:b/>
                <w:sz w:val="26"/>
              </w:rPr>
            </w:pPr>
          </w:p>
        </w:tc>
        <w:tc>
          <w:tcPr>
            <w:tcW w:w="4387" w:type="dxa"/>
          </w:tcPr>
          <w:p>
            <w:pPr>
              <w:jc w:val="both"/>
              <w:spacing w:before="15" w:line="276" w:lineRule="auto"/>
              <w:rPr>
                <w:b/>
                <w:sz w:val="26"/>
              </w:rPr>
            </w:pPr>
            <w:r>
              <w:rPr>
                <w:vanish w:val="false"/>
                <w:sz w:val="26"/>
                <w:rFonts w:ascii="Times New Roman" w:hAnsi="Times New Roman"/>
              </w:rPr>
              <w:fldChar w:fldCharType="begin"/>
              <w:instrText xml:space="preserve">X {"Y":2}</w:instrText>
              <w:fldChar w:fldCharType="separate"/>
            </w:r>
            <w:r>
              <w:rPr>
                <w:vanish w:val="false"/>
                <w:sz w:val="26"/>
                <w:rFonts w:ascii="Times New Roman" w:hAnsi="Times New Roman"/>
              </w:rPr>
              <w:t xml:space="preserve">Daʼvo ariza berilayotgan sud nomi </w:t>
              <w:fldChar w:fldCharType="end"/>
            </w:r>
            <w:r>
              <w:rPr>
                <w:b/>
                <w:sz w:val="26"/>
              </w:rPr>
              <w:t xml:space="preserve"> iqtisodiy sudiga</w:t>
            </w:r>
          </w:p>
          <w:p>
            <w:pPr>
              <w:jc w:val="both"/>
              <w:spacing w:before="15" w:line="276" w:lineRule="auto"/>
              <w:rPr>
                <w:b/>
                <w:sz w:val="26"/>
              </w:rPr>
            </w:pPr>
            <w:r>
              <w:rPr>
                <w:b/>
                <w:sz w:val="26"/>
              </w:rPr>
              <w:t xml:space="preserve"> </w:t>
            </w:r>
          </w:p>
        </w:tc>
      </w:tr>
      <w:tr>
        <w:tc>
          <w:tcPr>
            <w:tcW w:w="1696" w:type="dxa"/>
          </w:tcPr>
          <w:p>
            <w:pPr>
              <w:jc w:val="center"/>
              <w:spacing w:before="15" w:line="276" w:lineRule="auto"/>
              <w:rPr>
                <w:b/>
                <w:sz w:val="26"/>
              </w:rPr>
            </w:pPr>
          </w:p>
        </w:tc>
        <w:tc>
          <w:tcPr>
            <w:tcW w:w="3261" w:type="dxa"/>
          </w:tcPr>
          <w:p>
            <w:pPr>
              <w:jc w:val="center"/>
              <w:spacing w:before="15" w:line="276" w:lineRule="auto"/>
              <w:rPr>
                <w:b/>
                <w:sz w:val="26"/>
              </w:rPr>
            </w:pPr>
            <w:r>
              <w:rPr>
                <w:b/>
                <w:sz w:val="26"/>
              </w:rPr>
              <w:t>Daʼvogar:</w:t>
            </w:r>
          </w:p>
        </w:tc>
        <w:tc>
          <w:tcPr>
            <w:tcW w:w="4387" w:type="dxa"/>
          </w:tcPr>
          <w:p>
            <w:pPr>
              <w:jc w:val="both"/>
              <w:spacing w:line="276" w:lineRule="auto"/>
              <w:rPr>
                <w:sz w:val="26"/>
              </w:rPr>
            </w:pP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Daʼvo ariza berayotgan tashkilot nomi  va tashkiliy-huquqiy shakli (qoʻlda toʻldiriladi)</w:t>
              <w:fldChar w:fldCharType="end"/>
            </w:r>
            <w:r>
              <w:rPr>
                <w:sz w:val="26"/>
              </w:rPr>
              <w:t xml:space="preserve"> </w:t>
            </w:r>
          </w:p>
          <w:p>
            <w:pPr>
              <w:spacing w:line="276" w:lineRule="auto"/>
              <w:rPr>
                <w:sz w:val="26"/>
              </w:rPr>
            </w:pPr>
            <w:r>
              <w:rPr>
                <w:sz w:val="26"/>
              </w:rPr>
              <w:t xml:space="preserve">Manzil: </w:t>
            </w:r>
            <w:r>
              <w:rPr>
                <w:vanish w:val="false"/>
                <w:sz w:val="26"/>
                <w:rFonts w:ascii="Times New Roman" w:hAnsi="Times New Roman"/>
              </w:rPr>
              <w:fldChar w:fldCharType="begin"/>
              <w:instrText xml:space="preserve">X {"Y":7}</w:instrText>
              <w:fldChar w:fldCharType="separate"/>
            </w:r>
            <w:r>
              <w:rPr>
                <w:vanish w:val="false"/>
                <w:sz w:val="26"/>
                <w:rFonts w:ascii="Times New Roman" w:hAnsi="Times New Roman"/>
              </w:rPr>
              <w:t xml:space="preserve">Daʼvo ariza berayotgan tashkilotning manzili</w:t>
              <w:fldChar w:fldCharType="end"/>
            </w:r>
            <w:r>
              <w:rPr>
                <w:sz w:val="26"/>
              </w:rPr>
              <w:t xml:space="preserve"> </w:t>
            </w:r>
          </w:p>
          <w:p>
            <w:pPr>
              <w:jc w:val="both"/>
              <w:spacing w:before="15" w:line="276" w:lineRule="auto"/>
              <w:rPr>
                <w:b/>
                <w:sz w:val="26"/>
              </w:rPr>
            </w:pPr>
          </w:p>
          <w:p>
            <w:pPr>
              <w:jc w:val="both"/>
              <w:spacing w:before="15" w:line="276" w:lineRule="auto"/>
              <w:rPr>
                <w:b/>
                <w:sz w:val="26"/>
              </w:rPr>
            </w:pPr>
          </w:p>
        </w:tc>
      </w:tr>
      <w:tr>
        <w:tc>
          <w:tcPr>
            <w:tcW w:w="1696" w:type="dxa"/>
          </w:tcPr>
          <w:p>
            <w:pPr>
              <w:jc w:val="center"/>
              <w:spacing w:before="15" w:line="276" w:lineRule="auto"/>
              <w:rPr>
                <w:b/>
                <w:sz w:val="26"/>
              </w:rPr>
            </w:pPr>
          </w:p>
        </w:tc>
        <w:tc>
          <w:tcPr>
            <w:tcW w:w="3261" w:type="dxa"/>
          </w:tcPr>
          <w:p>
            <w:pPr>
              <w:jc w:val="center"/>
              <w:spacing w:before="15" w:line="276" w:lineRule="auto"/>
              <w:rPr>
                <w:b/>
                <w:sz w:val="26"/>
              </w:rPr>
            </w:pPr>
            <w:r>
              <w:rPr>
                <w:b/>
                <w:sz w:val="26"/>
              </w:rPr>
              <w:t>Javobgar:</w:t>
            </w:r>
          </w:p>
        </w:tc>
        <w:tc>
          <w:tcPr>
            <w:tcW w:w="4387" w:type="dxa"/>
          </w:tcPr>
          <w:p>
            <w:pPr>
              <w:pStyle w:val="ConsPlusNormal"/>
              <w:jc w:val="both"/>
              <w:ind w:firstLine="0"/>
              <w:spacing w:line="276" w:lineRule="auto"/>
              <w:contextualSpacing/>
              <w:rPr>
                <w:b/>
                <w:sz w:val="26"/>
                <w:rFonts w:ascii="Times New Roman" w:hAnsi="Times New Roman"/>
              </w:rPr>
            </w:pPr>
            <w:r>
              <w:rPr>
                <w:b/>
                <w:vanish w:val="false"/>
                <w:sz w:val="26"/>
                <w:rFonts w:ascii="Times New Roman" w:hAnsi="Times New Roman"/>
              </w:rPr>
              <w:fldChar w:fldCharType="begin"/>
              <w:instrText xml:space="preserve">X {"Y":9}</w:instrText>
              <w:fldChar w:fldCharType="separate"/>
            </w:r>
            <w:r>
              <w:rPr>
                <w:b/>
                <w:vanish w:val="false"/>
                <w:sz w:val="26"/>
                <w:rFonts w:ascii="Times New Roman" w:hAnsi="Times New Roman"/>
              </w:rPr>
              <w:t xml:space="preserve">Javobgar tashkilot nomi  va tashkiliy-huquqiy shakli (qoʻlda toʻldiriladi)</w:t>
              <w:fldChar w:fldCharType="end"/>
            </w:r>
            <w:r>
              <w:rPr>
                <w:b/>
                <w:sz w:val="26"/>
                <w:rFonts w:ascii="Times New Roman" w:hAnsi="Times New Roman"/>
              </w:rPr>
              <w:t xml:space="preserve"> </w:t>
            </w:r>
          </w:p>
          <w:p>
            <w:pPr>
              <w:jc w:val="both"/>
              <w:spacing w:before="15" w:line="276" w:lineRule="auto"/>
              <w:rPr>
                <w:sz w:val="26"/>
              </w:rPr>
            </w:pPr>
            <w:r>
              <w:rPr>
                <w:sz w:val="26"/>
              </w:rPr>
              <w:t xml:space="preserve">Manzil: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Javobgar tashkilotning manzili (qoʻlda toʻldiriladi)</w:t>
              <w:fldChar w:fldCharType="end"/>
            </w:r>
          </w:p>
        </w:tc>
      </w:tr>
    </w:tbl>
    <w:p>
      <w:pPr>
        <w:jc w:val="center"/>
        <w:shd w:fill="ffffff"/>
        <w:spacing w:before="15" w:line="276" w:lineRule="auto"/>
        <w:rPr>
          <w:b/>
          <w:sz w:val="26"/>
        </w:rPr>
      </w:pPr>
    </w:p>
    <w:p>
      <w:pPr>
        <w:jc w:val="center"/>
        <w:shd w:fill="ffffff"/>
        <w:spacing w:before="15" w:line="276" w:lineRule="auto"/>
        <w:rPr>
          <w:sz w:val="26"/>
        </w:rPr>
      </w:pPr>
      <w:r>
        <w:rPr>
          <w:b/>
          <w:sz w:val="26"/>
        </w:rPr>
        <w:t xml:space="preserve">DAʼVO ARIZA</w:t>
      </w:r>
    </w:p>
    <w:p>
      <w:pPr>
        <w:jc w:val="center"/>
        <w:shd w:fill="ffffff"/>
        <w:ind w:firstLine="540"/>
        <w:spacing w:before="15" w:line="276" w:lineRule="auto"/>
        <w:rPr>
          <w:i/>
          <w:sz w:val="26"/>
        </w:rPr>
      </w:pPr>
      <w:r>
        <w:rPr>
          <w:i/>
          <w:sz w:val="26"/>
        </w:rPr>
        <w:t xml:space="preserve">(Shartnomaga asosan toʻlab berilmagan qarzdorlikni, penya va jarimani </w:t>
      </w:r>
    </w:p>
    <w:p>
      <w:pPr>
        <w:jc w:val="center"/>
        <w:shd w:fill="ffffff"/>
        <w:ind w:firstLine="540"/>
        <w:spacing w:before="15" w:line="276" w:lineRule="auto"/>
        <w:rPr>
          <w:i/>
          <w:sz w:val="26"/>
        </w:rPr>
      </w:pPr>
      <w:r>
        <w:rPr>
          <w:i/>
          <w:sz w:val="26"/>
        </w:rPr>
        <w:t xml:space="preserve">undirish toʻgʻrisida)</w:t>
      </w:r>
    </w:p>
    <w:p>
      <w:pPr>
        <w:shd w:fill="ffffff"/>
        <w:spacing w:before="15" w:after="15" w:line="276" w:lineRule="auto"/>
        <w:rPr>
          <w:sz w:val="26"/>
        </w:rPr>
      </w:pPr>
      <w:r>
        <w:rPr>
          <w:sz w:val="26"/>
        </w:rPr>
        <w:t> </w:t>
      </w:r>
    </w:p>
    <w:p>
      <w:pPr>
        <w:jc w:val="both"/>
        <w:shd w:fill="ffffff"/>
        <w:ind w:firstLine="540"/>
        <w:spacing w:before="15" w:line="276" w:lineRule="auto"/>
        <w:rPr>
          <w:sz w:val="26"/>
        </w:rPr>
      </w:pPr>
    </w:p>
    <w:p>
      <w:pPr>
        <w:jc w:val="both"/>
        <w:ind w:firstLine="709"/>
        <w:spacing w:line="276" w:lineRule="auto"/>
        <w:rPr>
          <w:sz w:val="26"/>
        </w:rPr>
      </w:pP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Daʼvo ariza berayotgan tashkilot nomi  va tashkiliy-huquqiy shakli (qoʻlda toʻldiriladi)</w:t>
        <w:fldChar w:fldCharType="end"/>
      </w:r>
      <w:r>
        <w:rPr>
          <w:sz w:val="26"/>
        </w:rPr>
        <w:t xml:space="preserve"> hamda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 oʻrtasida   </w:t>
      </w:r>
      <w:r>
        <w:rPr>
          <w:vanish w:val="false"/>
          <w:sz w:val="26"/>
          <w:rFonts w:ascii="Times New Roman" w:hAnsi="Times New Roman"/>
        </w:rPr>
        <w:fldChar w:fldCharType="begin"/>
        <w:instrText xml:space="preserve">X {"Y":13}</w:instrText>
        <w:fldChar w:fldCharType="separate"/>
      </w:r>
      <w:r>
        <w:rPr>
          <w:vanish w:val="false"/>
          <w:sz w:val="26"/>
          <w:rFonts w:ascii="Times New Roman" w:hAnsi="Times New Roman"/>
        </w:rPr>
        <w:t xml:space="preserve">Daʼvo ariza berish uchun asos boʻlgan shartnoma tuzilgan sana (kalendar)</w:t>
        <w:fldChar w:fldCharType="end"/>
      </w:r>
      <w:r>
        <w:rPr>
          <w:sz w:val="26"/>
        </w:rPr>
        <w:t xml:space="preserve"> </w:t>
      </w:r>
      <w:r>
        <w:rPr>
          <w:vanish w:val="false"/>
          <w:sz w:val="26"/>
          <w:rFonts w:ascii="Times New Roman" w:hAnsi="Times New Roman"/>
        </w:rPr>
        <w:fldChar w:fldCharType="begin"/>
        <w:instrText xml:space="preserve">X {"Y":14}</w:instrText>
        <w:fldChar w:fldCharType="separate"/>
      </w:r>
      <w:r>
        <w:rPr>
          <w:vanish w:val="false"/>
          <w:sz w:val="26"/>
          <w:rFonts w:ascii="Times New Roman" w:hAnsi="Times New Roman"/>
        </w:rPr>
        <w:t xml:space="preserve"> Daʼvo ariza berish uchun asos boʻlgan shartnoma raqami (qoʻlda toʻldiriladi)</w:t>
        <w:fldChar w:fldCharType="end"/>
      </w:r>
      <w:r>
        <w:rPr>
          <w:sz w:val="26"/>
        </w:rPr>
        <w:t xml:space="preserve">-sonli shartnomasi tuzilgan.</w:t>
      </w:r>
    </w:p>
    <w:p>
      <w:pPr>
        <w:jc w:val="both"/>
        <w:ind w:firstLine="709"/>
        <w:spacing w:line="276" w:lineRule="auto"/>
        <w:rPr>
          <w:sz w:val="26"/>
        </w:rPr>
      </w:pPr>
      <w:r>
        <w:rPr>
          <w:sz w:val="26"/>
        </w:rPr>
        <w:t xml:space="preserve">Mazkur shartnomaga asosan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Daʼvo ariza berayotgan tashkilot nomi  va tashkiliy-huquqiy shakli (qoʻlda toʻldiriladi)</w:t>
        <w:fldChar w:fldCharType="end"/>
      </w:r>
      <w:r>
        <w:rPr>
          <w:sz w:val="26"/>
        </w:rPr>
        <w:t xml:space="preserve"> tomonidan jami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Shartnoma boʻyicha ijaraga berilgan ashyolar soni</w:t>
        <w:fldChar w:fldCharType="end"/>
      </w:r>
      <w:r>
        <w:rPr>
          <w:sz w:val="26"/>
        </w:rPr>
        <w:t xml:space="preserve">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Shartnoma boʻyicha ijaraga berilgan ashyolar nomi</w:t>
        <w:fldChar w:fldCharType="end"/>
      </w:r>
      <w:r>
        <w:rPr>
          <w:sz w:val="26"/>
        </w:rPr>
        <w:t xml:space="preserve">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Shartnoma qiymati (qoʻlda toʻldiriladi)</w:t>
        <w:fldChar w:fldCharType="end"/>
      </w:r>
      <w:r>
        <w:rPr>
          <w:sz w:val="26"/>
        </w:rPr>
        <w:t xml:space="preserve"> soʻm haq toʻlash evaziga   ijaraga berilishi belgilangan.</w:t>
      </w:r>
    </w:p>
    <w:p>
      <w:pPr>
        <w:jc w:val="both"/>
        <w:ind w:firstLine="709"/>
        <w:spacing w:line="276" w:lineRule="auto"/>
        <w:rPr>
          <w:sz w:val="26"/>
        </w:rPr>
      </w:pPr>
      <w:r>
        <w:rPr>
          <w:sz w:val="26"/>
        </w:rPr>
        <w:t xml:space="preserve">Taraflar oʻrtasida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Ijaraga berilgan ashyolarni topshirish boʻyicha dalolatnoma tuzilgan sana </w:t>
        <w:fldChar w:fldCharType="end"/>
      </w:r>
      <w:r>
        <w:rPr>
          <w:sz w:val="26"/>
        </w:rPr>
        <w:t xml:space="preserve">yilda tuzilgan yuk xatiga asosan shartnomada belgilangan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Shartnoma boʻyicha ijaraga berilgan ashyolar nomi</w:t>
        <w:fldChar w:fldCharType="end"/>
      </w:r>
      <w:r>
        <w:rPr>
          <w:sz w:val="26"/>
        </w:rPr>
        <w:t xml:space="preserve">lar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ga topshirilgan.</w:t>
      </w:r>
    </w:p>
    <w:p>
      <w:pPr>
        <w:jc w:val="both"/>
        <w:ind w:firstLine="709"/>
        <w:spacing w:line="276" w:lineRule="auto"/>
        <w:rPr>
          <w:sz w:val="26"/>
        </w:rPr>
      </w:pPr>
      <w:r>
        <w:rPr>
          <w:sz w:val="26"/>
        </w:rPr>
        <w:t xml:space="preserve">Yuqoridagi shartnomaning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Shartnomaning ijara puli oʻz vaqtida toʻlanishi lozimligi belgilangan bandi raqami</w:t>
        <w:fldChar w:fldCharType="end"/>
      </w:r>
      <w:r>
        <w:rPr>
          <w:sz w:val="26"/>
        </w:rPr>
        <w:t xml:space="preserve">-bandida shartnomada belgilangan summani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Shartnomaga asosan ijara haqi shartnoma tuzilganidan soʻng necha ish kunida toʻlanishi lozim?</w:t>
        <w:fldChar w:fldCharType="end"/>
      </w:r>
      <w:r>
        <w:rPr>
          <w:sz w:val="26"/>
        </w:rPr>
        <w:t xml:space="preserve"> ish kuni ichida oʻtkazishi lozimligi, shartnomaning </w:t>
      </w:r>
      <w:r>
        <w:rPr>
          <w:vanish w:val="false"/>
          <w:sz w:val="26"/>
          <w:rFonts w:ascii="Times New Roman" w:hAnsi="Times New Roman"/>
        </w:rPr>
        <w:fldChar w:fldCharType="begin"/>
        <w:instrText xml:space="preserve">X {"Y":21}</w:instrText>
        <w:fldChar w:fldCharType="separate"/>
      </w:r>
      <w:r>
        <w:rPr>
          <w:vanish w:val="false"/>
          <w:sz w:val="26"/>
          <w:rFonts w:ascii="Times New Roman" w:hAnsi="Times New Roman"/>
        </w:rPr>
        <w:t xml:space="preserve">Shartnomaning ijaraga oluvchi ijara haqini oʻz vaqtida toʻlashi lozimligi belgilangan bandi raqami</w:t>
        <w:fldChar w:fldCharType="end"/>
      </w:r>
      <w:r>
        <w:rPr>
          <w:sz w:val="26"/>
        </w:rPr>
        <w:t xml:space="preserve">-bandida esa belgilangan mudddatda ijara haqini toʻlashi lozimligi belgilangan. </w:t>
      </w:r>
    </w:p>
    <w:p>
      <w:pPr>
        <w:jc w:val="both"/>
        <w:ind w:firstLine="709"/>
        <w:spacing w:line="276" w:lineRule="auto"/>
        <w:rPr>
          <w:sz w:val="26"/>
        </w:rPr>
      </w:pPr>
      <w:r>
        <w:rPr>
          <w:sz w:val="26"/>
        </w:rPr>
        <w:t xml:space="preserve">Biroq,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Daʼvo ariza berayotgan tashkilot nomi  va tashkiliy-huquqiy shakli (qoʻlda toʻldiriladi)</w:t>
        <w:fldChar w:fldCharType="end"/>
      </w:r>
      <w:r>
        <w:rPr>
          <w:sz w:val="26"/>
        </w:rPr>
        <w:t xml:space="preserve"> tomonidan bir necha marotaba ogʻzaki ogohlantirishlar bildirilganligiga qaramasdan,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 tomonidan shartnoma summasi hozirga qadar toʻlab berilmadi.</w:t>
      </w:r>
    </w:p>
    <w:p>
      <w:pPr>
        <w:jc w:val="both"/>
        <w:ind w:firstLine="709"/>
        <w:spacing w:line="276" w:lineRule="auto"/>
        <w:rPr>
          <w:sz w:val="26"/>
        </w:rPr>
      </w:pPr>
      <w:r>
        <w:rPr>
          <w:sz w:val="26"/>
        </w:rPr>
        <w:t xml:space="preserve">Shundan keyin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ga qarzdorlikni toʻlash toʻgʻrisida talabnoma berdik. Biroq,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 tomonidan hozirga qadar qarzdorlik toʻlab berilmadi. Ushbu talabnomaga javob xati ham berilmadi. </w:t>
      </w:r>
    </w:p>
    <w:p>
      <w:pPr>
        <w:jc w:val="both"/>
        <w:shd w:fill="ffffff"/>
        <w:ind w:firstLine="709"/>
        <w:spacing w:line="276" w:lineRule="auto"/>
        <w:rPr>
          <w:sz w:val="26"/>
        </w:rPr>
      </w:pPr>
      <w:r>
        <w:rPr>
          <w:sz w:val="26"/>
        </w:rPr>
        <w:t xml:space="preserve">Oʻzbekiston Respublikasi Fuqarolik kodeksining 324-moddasiga koʻra, qarzdor majburiyatni bajarmaganligi yoki lozim darajada bajarmaganligi tufayli kreditorga yetkazilgan zararni toʻlashi shart. Agar qonunchilikda yoki shartnomada oʻzgacha tartib nazarda tutilgan boʻlmasa, zararni aniqlashda majburiyat bajarilishi kerak boʻlgan joyda, qarzdor kreditorning talablarini ixtiyoriy qanoatlantirgan kunda, bordi-yu, talab ixtiyoriy qanoatlantirilgan boʻlmasa, — daʼvo qoʻzgʻatilgan kunda mavjud boʻlgan narxlar eʼtiborga olinadi. Sud vaziyatga qarab, zararni toʻlash haqidagi talabni qaror chiqarilgan kunda mavjud boʻlgan narxlarni eʼtiborga olgan holda qanoatlantirishi mumkin.</w:t>
      </w:r>
    </w:p>
    <w:p>
      <w:pPr>
        <w:jc w:val="both"/>
        <w:ind w:firstLine="709"/>
        <w:spacing w:line="276" w:lineRule="auto"/>
        <w:rPr>
          <w:sz w:val="26"/>
        </w:rPr>
      </w:pPr>
      <w:r>
        <w:rPr>
          <w:sz w:val="26"/>
        </w:rPr>
        <w:t xml:space="preserve">Oʻzbekiston Respublikasi “Xoʻjalik yurituvchi subyektlar faoliyatining shartnomaviy-huquqiy bazasi toʻgʻrisida”gi Qonunining 24-moddasida taraflardan biri shartnoma majburiyatlarini bajarmagan yoki lozim darajada bajarmagan taqdirda, bu taraf boshqa tarafga yetkazilgan zararni toʻlashi, Oʻzbekiston Respublikasi Fuqarolik kodeksida, ushbu Qonunda, oʻzga qonunchilik hujjatlarida va shartnomada nazarda tutilgan tartibda boshqacha tarzda javobgar boʻlishi belgilangan.</w:t>
      </w:r>
    </w:p>
    <w:p>
      <w:pPr>
        <w:jc w:val="both"/>
        <w:ind w:firstLine="709"/>
        <w:spacing w:line="276" w:lineRule="auto"/>
        <w:rPr>
          <w:sz w:val="26"/>
        </w:rPr>
      </w:pPr>
      <w:r>
        <w:rPr>
          <w:rStyle w:val="clauseprfx"/>
          <w:sz w:val="26"/>
          <w:rFonts w:ascii="Times New Roman" w:hAnsi="Times New Roman"/>
        </w:rPr>
        <w:t xml:space="preserve">Shuningdek, yuqoridagi qonunning 32-moddasida </w:t>
      </w:r>
      <w:r>
        <w:rPr>
          <w:sz w:val="26"/>
        </w:rPr>
        <w:t xml:space="preserve">toʻlov talabnomasi akseptini asossiz ravishda butunlay yoki qisman rad etganlik, shuningdek hisob-kitobning boshqa shakllarida tovarlar (ishlar, xizmatlar) haqini toʻlashdan bosh tortganlik (bank muassasasiga toʻlov topshiriqnomasini taqdim etmaganlik, chek bermaganlik, akkreditivni taqdim etmaganlik va hokazo) uchun sotib oluvchi (buyurtmachi) mahsulot yetkazib beruvchiga oʻzi toʻlashni rad etgan yoki bosh tortgan summaning 15 foizi miqdorida jarima toʻlaydi.</w:t>
      </w:r>
    </w:p>
    <w:p>
      <w:pPr>
        <w:jc w:val="both"/>
        <w:shd w:fill="ffffff"/>
        <w:ind w:firstLine="709"/>
        <w:spacing w:line="276" w:lineRule="auto"/>
        <w:rPr>
          <w:sz w:val="26"/>
        </w:rPr>
      </w:pPr>
      <w:r>
        <w:rPr>
          <w:rStyle w:val="clauseprfx"/>
          <w:sz w:val="26"/>
          <w:rFonts w:ascii="Times New Roman" w:hAnsi="Times New Roman"/>
        </w:rPr>
        <w:t xml:space="preserve">Shu kabi, yuqoridagi qonunning </w:t>
      </w:r>
      <w:r>
        <w:rPr>
          <w:sz w:val="26"/>
        </w:rPr>
        <w:t xml:space="preserve">36-moddasida xoʻjalik shartnomalarini tuzish, bajarish, oʻzgartirish va bekor qilish vaqtida taraflar oʻrtasida kelib chiqadigan nizolar, shuningdek yetkazilgan zararni qoplash toʻgʻrisidagi nizolar qonunchilikda belgilangan tartibda iqtisodiy sud tomonidan koʻrib chiqilishi belgilangan.</w:t>
      </w:r>
    </w:p>
    <w:p>
      <w:pPr>
        <w:jc w:val="both"/>
        <w:shd w:fill="ffffff"/>
        <w:ind w:firstLine="709"/>
        <w:spacing w:line="276" w:lineRule="auto"/>
        <w:rPr>
          <w:sz w:val="26"/>
        </w:rPr>
      </w:pP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 ushbu qarzdorlikni ogʻzaki ravishda tan olishgan boʻlishsada, ushbu pul mablagʻlarini toʻlab berishmayapti. </w:t>
      </w:r>
    </w:p>
    <w:p>
      <w:pPr>
        <w:jc w:val="both"/>
        <w:shd w:fill="ffffff"/>
        <w:ind w:firstLine="709"/>
        <w:spacing w:line="276" w:lineRule="auto"/>
        <w:rPr>
          <w:sz w:val="26"/>
        </w:rPr>
      </w:pPr>
      <w:r>
        <w:rPr>
          <w:sz w:val="26"/>
        </w:rPr>
        <w:t xml:space="preserve">Yuqoridagilardan kelib chiqib, Oʻzbekiston Respublikasi Fuqarolik kodeksining 259-312 moddalari, Oʻzbekiston Respublikasi Iqtisodiy protsessual Kodeksining 26, 32, 176-178-moddalariga asosan suddan,</w:t>
      </w:r>
    </w:p>
    <w:p>
      <w:pPr>
        <w:jc w:val="both"/>
        <w:shd w:fill="ffffff"/>
        <w:ind w:firstLine="540"/>
        <w:spacing w:line="276" w:lineRule="auto"/>
        <w:rPr>
          <w:sz w:val="26"/>
        </w:rPr>
      </w:pPr>
    </w:p>
    <w:p>
      <w:pPr>
        <w:jc w:val="center"/>
        <w:shd w:fill="ffffff"/>
        <w:spacing w:line="276" w:lineRule="auto"/>
        <w:rPr>
          <w:sz w:val="26"/>
        </w:rPr>
      </w:pPr>
      <w:r>
        <w:rPr>
          <w:b/>
          <w:sz w:val="26"/>
        </w:rPr>
        <w:t>SOʻRAYMAN:</w:t>
      </w:r>
    </w:p>
    <w:p>
      <w:pPr>
        <w:spacing w:line="276" w:lineRule="auto"/>
        <w:rPr>
          <w:sz w:val="26"/>
        </w:rPr>
      </w:pPr>
    </w:p>
    <w:p>
      <w:pPr>
        <w:jc w:val="both"/>
        <w:ind w:firstLine="567"/>
        <w:spacing w:line="276" w:lineRule="auto"/>
        <w:rPr>
          <w:sz w:val="26"/>
        </w:rPr>
      </w:pPr>
      <w:r>
        <w:rPr>
          <w:sz w:val="26"/>
        </w:rPr>
        <w:t xml:space="preserve">1.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dan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Daʼvo ariza berayotgan tashkilot nomi  va tashkiliy-huquqiy shakli (qoʻlda toʻldiriladi)</w:t>
        <w:fldChar w:fldCharType="end"/>
      </w:r>
      <w:r>
        <w:rPr>
          <w:sz w:val="26"/>
        </w:rPr>
        <w:t xml:space="preserve"> foydasiga </w:t>
      </w:r>
      <w:r>
        <w:rPr>
          <w:vanish w:val="false"/>
          <w:sz w:val="26"/>
          <w:rFonts w:ascii="Times New Roman" w:hAnsi="Times New Roman"/>
        </w:rPr>
        <w:fldChar w:fldCharType="begin"/>
        <w:instrText xml:space="preserve">X {"Y":22}</w:instrText>
        <w:fldChar w:fldCharType="separate"/>
      </w:r>
      <w:r>
        <w:rPr>
          <w:vanish w:val="false"/>
          <w:sz w:val="26"/>
          <w:rFonts w:ascii="Times New Roman" w:hAnsi="Times New Roman"/>
        </w:rPr>
        <w:t xml:space="preserve">Qarzdor tomonidan toʻlanishi lozim boʻlgan qarz miqdori (qoʻlda toʻldiriladi)</w:t>
        <w:fldChar w:fldCharType="end"/>
      </w:r>
      <w:r>
        <w:rPr>
          <w:sz w:val="26"/>
        </w:rPr>
        <w:t xml:space="preserve"> soʻm qarzdorlikni undirish toʻgʻrisida qaror qabul qilishingizni;</w:t>
      </w:r>
    </w:p>
    <w:p>
      <w:pPr>
        <w:jc w:val="both"/>
        <w:ind w:firstLine="567"/>
        <w:spacing w:line="276" w:lineRule="auto"/>
        <w:rPr>
          <w:sz w:val="26"/>
        </w:rPr>
      </w:pPr>
      <w:r>
        <w:rPr>
          <w:sz w:val="26"/>
        </w:rPr>
        <w:t xml:space="preserve">2. Oʻz vaqtida toʻlanmagan qarzdorlik uchun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dan “Xoʻjalik yurituvchi subyektlar faoliyatining shartnomaviy-huquqiy bazasi toʻgʻrisida”gi Qonunda nazarda tutilgan </w:t>
      </w:r>
      <w:r>
        <w:rPr>
          <w:vanish w:val="false"/>
          <w:sz w:val="26"/>
          <w:rFonts w:ascii="Times New Roman" w:hAnsi="Times New Roman"/>
        </w:rPr>
        <w:fldChar w:fldCharType="begin"/>
        <w:instrText xml:space="preserve">X {"Y":24}</w:instrText>
        <w:fldChar w:fldCharType="separate"/>
      </w:r>
      <w:r>
        <w:rPr>
          <w:vanish w:val="false"/>
          <w:sz w:val="26"/>
          <w:rFonts w:ascii="Times New Roman" w:hAnsi="Times New Roman"/>
        </w:rPr>
        <w:t xml:space="preserve">Qarzdor tomonidan toʻlanishi lozim boʻlgan penya miqdori (qoʻlda toʻldiriladi)</w:t>
        <w:fldChar w:fldCharType="end"/>
      </w:r>
      <w:r>
        <w:rPr>
          <w:sz w:val="26"/>
        </w:rPr>
        <w:t xml:space="preserve"> soʻm penya va </w:t>
      </w:r>
      <w:r>
        <w:rPr>
          <w:vanish w:val="false"/>
          <w:sz w:val="26"/>
          <w:rFonts w:ascii="Times New Roman" w:hAnsi="Times New Roman"/>
        </w:rPr>
        <w:fldChar w:fldCharType="begin"/>
        <w:instrText xml:space="preserve">X {"Y":23}</w:instrText>
        <w:fldChar w:fldCharType="separate"/>
      </w:r>
      <w:r>
        <w:rPr>
          <w:vanish w:val="false"/>
          <w:sz w:val="26"/>
          <w:rFonts w:ascii="Times New Roman" w:hAnsi="Times New Roman"/>
        </w:rPr>
        <w:t xml:space="preserve"> Qarzdor tomonidan toʻlanishi lozim boʻlgan jarima miqdori (qoʻlda toʻldiriladi)</w:t>
        <w:fldChar w:fldCharType="end"/>
      </w:r>
      <w:r>
        <w:rPr>
          <w:sz w:val="26"/>
        </w:rPr>
        <w:t xml:space="preserve"> soʻm jarimalarni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Javobgar tashkilot nomi  va tashkiliy-huquqiy shakli (qoʻlda toʻldiriladi)</w:t>
        <w:fldChar w:fldCharType="end"/>
      </w:r>
      <w:r>
        <w:rPr>
          <w:sz w:val="26"/>
        </w:rPr>
        <w:t xml:space="preserve">dan undirib berishingizni;</w:t>
      </w:r>
    </w:p>
    <w:p>
      <w:pPr>
        <w:jc w:val="both"/>
        <w:ind w:firstLine="567"/>
        <w:spacing w:line="276" w:lineRule="auto"/>
        <w:rPr>
          <w:sz w:val="26"/>
        </w:rPr>
      </w:pPr>
      <w:r>
        <w:rPr>
          <w:sz w:val="26"/>
        </w:rPr>
        <w:t xml:space="preserve">3. Iqtisodiy ish koʻriladigan kun va vaqt toʻgʻrisida bizga maʼlum qilishingizni.</w:t>
      </w:r>
    </w:p>
    <w:p>
      <w:pPr>
        <w:jc w:val="both"/>
        <w:ind w:firstLine="567"/>
        <w:spacing w:line="276" w:lineRule="auto"/>
        <w:rPr>
          <w:i/>
          <w:sz w:val="26"/>
        </w:rPr>
      </w:pPr>
    </w:p>
    <w:p>
      <w:pPr>
        <w:jc w:val="both"/>
        <w:ind w:firstLine="567"/>
        <w:spacing w:line="276" w:lineRule="auto"/>
        <w:rPr>
          <w:i/>
          <w:sz w:val="26"/>
        </w:rPr>
      </w:pPr>
      <w:r>
        <w:rPr>
          <w:i/>
          <w:sz w:val="26"/>
        </w:rPr>
        <w:t xml:space="preserve">Ilovalar: </w:t>
      </w:r>
    </w:p>
    <w:p>
      <w:pPr>
        <w:jc w:val="both"/>
        <w:ind w:firstLine="567"/>
        <w:spacing w:line="276" w:lineRule="auto"/>
        <w:rPr>
          <w:i/>
          <w:sz w:val="26"/>
        </w:rPr>
      </w:pPr>
      <w:r>
        <w:rPr>
          <w:i/>
          <w:sz w:val="26"/>
        </w:rPr>
        <w:t xml:space="preserve">1. Shartnoma nusxasi;</w:t>
      </w:r>
    </w:p>
    <w:p>
      <w:pPr>
        <w:jc w:val="both"/>
        <w:ind w:firstLine="567"/>
        <w:spacing w:line="276" w:lineRule="auto"/>
        <w:rPr>
          <w:i/>
          <w:sz w:val="26"/>
        </w:rPr>
      </w:pPr>
      <w:r>
        <w:rPr>
          <w:i/>
          <w:sz w:val="26"/>
        </w:rPr>
        <w:t xml:space="preserve">2. Topshirish-qabul qilish dalolatnomasi nusxasi </w:t>
      </w:r>
    </w:p>
    <w:p>
      <w:pPr>
        <w:jc w:val="both"/>
        <w:ind w:firstLine="567"/>
        <w:spacing w:line="276" w:lineRule="auto"/>
        <w:rPr>
          <w:i/>
          <w:sz w:val="26"/>
        </w:rPr>
      </w:pPr>
      <w:r>
        <w:rPr>
          <w:i/>
          <w:sz w:val="26"/>
        </w:rPr>
        <w:t xml:space="preserve">3. Talabnoma nusxasi;</w:t>
      </w:r>
    </w:p>
    <w:p>
      <w:pPr>
        <w:jc w:val="both"/>
        <w:ind w:firstLine="567"/>
        <w:spacing w:line="276" w:lineRule="auto"/>
        <w:rPr>
          <w:i/>
          <w:sz w:val="26"/>
        </w:rPr>
      </w:pPr>
      <w:r>
        <w:rPr>
          <w:i/>
          <w:sz w:val="26"/>
        </w:rPr>
        <w:t xml:space="preserve">4. Davlat boji toʻlanganligini tasdiqlovchi hujjatlar;</w:t>
      </w:r>
    </w:p>
    <w:p>
      <w:pPr>
        <w:jc w:val="both"/>
        <w:ind w:firstLine="567"/>
        <w:spacing w:line="276" w:lineRule="auto"/>
        <w:rPr>
          <w:i/>
          <w:sz w:val="26"/>
        </w:rPr>
      </w:pPr>
    </w:p>
    <w:p>
      <w:pPr>
        <w:jc w:val="both"/>
        <w:ind w:firstLine="567"/>
        <w:spacing w:line="276" w:lineRule="auto"/>
        <w:rPr>
          <w:i/>
          <w:sz w:val="26"/>
        </w:rPr>
      </w:pPr>
    </w:p>
    <w:p>
      <w:pPr>
        <w:jc w:val="both"/>
        <w:ind w:firstLine="567"/>
        <w:spacing w:line="276" w:lineRule="auto"/>
        <w:rPr>
          <w:i/>
          <w:sz w:val="26"/>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390"/>
        <w:gridCol w:w="1840"/>
        <w:gridCol w:w="3115"/>
      </w:tblGrid>
      <w:tr>
        <w:tc>
          <w:tcPr>
            <w:tcW w:w="4390" w:type="dxa"/>
          </w:tcPr>
          <w:p>
            <w:pPr>
              <w:jc w:val="center"/>
              <w:spacing w:line="276" w:lineRule="auto"/>
              <w:rPr>
                <w:b/>
                <w:sz w:val="26"/>
              </w:rPr>
            </w:pP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Daʼvo ariza berayotgan tashkilot nomi  va tashkiliy-huquqiy shakli (qoʻlda toʻldiriladi)</w:t>
              <w:fldChar w:fldCharType="end"/>
            </w:r>
            <w:r>
              <w:rPr>
                <w:sz w:val="26"/>
              </w:rPr>
              <w:t xml:space="preserve"> rahbari</w:t>
            </w:r>
          </w:p>
        </w:tc>
        <w:tc>
          <w:tcPr>
            <w:tcW w:w="1840" w:type="dxa"/>
          </w:tcPr>
          <w:p>
            <w:pPr>
              <w:jc w:val="both"/>
              <w:spacing w:line="276" w:lineRule="auto"/>
              <w:rPr>
                <w:b/>
                <w:sz w:val="26"/>
              </w:rPr>
            </w:pPr>
          </w:p>
        </w:tc>
        <w:tc>
          <w:tcPr>
            <w:tcW w:w="3115" w:type="dxa"/>
          </w:tcPr>
          <w:p>
            <w:pPr>
              <w:jc w:val="center"/>
              <w:spacing w:line="276" w:lineRule="auto"/>
              <w:rPr>
                <w:b/>
                <w:sz w:val="26"/>
              </w:rPr>
            </w:pP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Daʼvo ariza berayotgan tashkilot rahbarining F.I.Sh. (qoʻlda toʻldiriladi)</w:t>
              <w:fldChar w:fldCharType="end"/>
            </w:r>
          </w:p>
        </w:tc>
      </w:tr>
    </w:tbl>
    <w:p>
      <w:pPr>
        <w:jc w:val="both"/>
        <w:ind w:firstLine="567"/>
        <w:spacing w:line="276" w:lineRule="auto"/>
        <w:rPr>
          <w:i/>
          <w:sz w:val="26"/>
        </w:rPr>
      </w:pPr>
    </w:p>
    <w:p>
      <w:pPr>
        <w:jc w:val="both"/>
        <w:ind w:firstLine="708"/>
        <w:spacing w:line="276" w:lineRule="auto"/>
        <w:rPr>
          <w:sz w:val="26"/>
        </w:rPr>
      </w:pPr>
    </w:p>
    <w:p>
      <w:pPr>
        <w:jc w:val="both"/>
        <w:ind w:firstLine="708"/>
        <w:spacing w:line="276" w:lineRule="auto"/>
        <w:rPr>
          <w:sz w:val="26"/>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390"/>
        <w:gridCol w:w="288"/>
        <w:gridCol w:w="4667"/>
      </w:tblGrid>
      <w:tr>
        <w:tc>
          <w:tcPr>
            <w:tcW w:w="4390" w:type="dxa"/>
          </w:tcPr>
          <w:p>
            <w:pPr>
              <w:jc w:val="right"/>
              <w:spacing w:line="276" w:lineRule="auto"/>
              <w:rPr>
                <w:b/>
                <w:sz w:val="26"/>
              </w:rPr>
            </w:pPr>
          </w:p>
        </w:tc>
        <w:tc>
          <w:tcPr>
            <w:tcW w:w="288" w:type="dxa"/>
          </w:tcPr>
          <w:p>
            <w:pPr>
              <w:jc w:val="both"/>
              <w:spacing w:line="276" w:lineRule="auto"/>
              <w:rPr>
                <w:b/>
                <w:sz w:val="26"/>
              </w:rPr>
            </w:pPr>
          </w:p>
        </w:tc>
        <w:tc>
          <w:tcPr>
            <w:tcW w:w="4667" w:type="dxa"/>
          </w:tcPr>
          <w:p>
            <w:pPr>
              <w:spacing w:line="276" w:lineRule="auto"/>
              <w:rPr>
                <w:sz w:val="26"/>
              </w:rPr>
            </w:pPr>
            <w:r>
              <w:rPr>
                <w:sz w:val="26"/>
              </w:rPr>
              <w:t xml:space="preserve">Sana: </w:t>
            </w: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Daʼvo ariza berilgan sana</w:t>
              <w:fldChar w:fldCharType="end"/>
            </w:r>
          </w:p>
        </w:tc>
      </w:tr>
    </w:tbl>
    <w:p>
      <w:pPr>
        <w:jc w:val="both"/>
        <w:ind w:firstLine="708"/>
        <w:spacing w:line="276" w:lineRule="auto"/>
        <w:rPr>
          <w:sz w:val="26"/>
        </w:rPr>
      </w:pPr>
    </w:p>
    <w:p>
      <w:pPr>
        <w:jc w:val="both"/>
        <w:spacing w:line="276" w:lineRule="auto"/>
        <w:tabs>
          <w:tab w:val="left" w:pos="0"/>
          <w:tab w:val="left" w:pos="284"/>
        </w:tabs>
      </w:pPr>
    </w:p>
    <w:p>
      <w:pPr>
        <w:jc w:val="both"/>
        <w:spacing w:line="276" w:lineRule="auto"/>
        <w:tabs>
          <w:tab w:val="left" w:pos="0"/>
          <w:tab w:val="left" w:pos="284"/>
        </w:tabs>
      </w:pPr>
    </w:p>
    <w:p>
      <w:pPr>
        <w:jc w:val="both"/>
        <w:spacing w:line="276" w:lineRule="auto"/>
        <w:tabs>
          <w:tab w:val="left" w:pos="0"/>
          <w:tab w:val="left" w:pos="284"/>
        </w:tabs>
      </w:pPr>
    </w:p>
    <w:p>
      <w:pPr>
        <w:jc w:val="both"/>
        <w:spacing w:line="276" w:lineRule="auto"/>
        <w:tabs>
          <w:tab w:val="left" w:pos="0"/>
          <w:tab w:val="left" w:pos="284"/>
        </w:tabs>
      </w:pPr>
    </w:p>
    <w:p>
      <w:pPr>
        <w:jc w:val="both"/>
        <w:ind w:firstLine="708"/>
        <w:spacing w:line="276" w:lineRule="auto"/>
      </w:pPr>
    </w:p>
    <w:p>
      <w:pPr>
        <w:jc w:val="both"/>
        <w:ind w:firstLine="708"/>
        <w:spacing w:line="276" w:lineRule="auto"/>
      </w:pPr>
    </w:p>
    <w:p>
      <w:pPr>
        <w:jc w:val="both"/>
        <w:ind w:firstLine="708"/>
        <w:spacing w:line="276" w:lineRule="auto"/>
      </w:pPr>
    </w:p>
    <w:p>
      <w:pPr>
        <w:jc w:val="both"/>
        <w:ind w:firstLine="708"/>
        <w:spacing w:line="276" w:lineRule="auto"/>
      </w:pPr>
    </w:p>
    <w:p>
      <w:pPr>
        <w:jc w:val="both"/>
        <w:ind w:firstLine="708"/>
        <w:spacing w:line="276" w:lineRule="auto"/>
      </w:pPr>
    </w:p>
    <w:p>
      <w:pPr>
        <w:jc w:val="both"/>
        <w:ind w:firstLine="708"/>
        <w:spacing w:line="276" w:lineRule="auto"/>
        <w:rPr>
          <w:sz w:val="26"/>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098"/>
    <w:rsid w:val="00083787"/>
    <w:rsid w:val="0017047F"/>
    <w:rsid w:val="0018412D"/>
    <w:rsid w:val="001E7960"/>
    <w:rsid w:val="0023226C"/>
    <w:rsid w:val="00245845"/>
    <w:rsid w:val="0026270D"/>
    <w:rsid w:val="00274395"/>
    <w:rsid w:val="00274836"/>
    <w:rsid w:val="002E7A4C"/>
    <w:rsid w:val="0037741C"/>
    <w:rsid w:val="00402040"/>
    <w:rsid w:val="004514A3"/>
    <w:rsid w:val="00456A33"/>
    <w:rsid w:val="0046383B"/>
    <w:rsid w:val="004973F4"/>
    <w:rsid w:val="004D1AC2"/>
    <w:rsid w:val="00556271"/>
    <w:rsid w:val="005F0E3D"/>
    <w:rsid w:val="00621104"/>
    <w:rsid w:val="00634051"/>
    <w:rsid w:val="006B4098"/>
    <w:rsid w:val="006D478C"/>
    <w:rsid w:val="006E5D58"/>
    <w:rsid w:val="00721862"/>
    <w:rsid w:val="007D206F"/>
    <w:rsid w:val="007D3602"/>
    <w:rsid w:val="007E1808"/>
    <w:rsid w:val="007E7039"/>
    <w:rsid w:val="008F11E8"/>
    <w:rsid w:val="008F5AB9"/>
    <w:rsid w:val="009179E3"/>
    <w:rsid w:val="009D7BB8"/>
    <w:rsid w:val="00A02793"/>
    <w:rsid w:val="00A56907"/>
    <w:rsid w:val="00A614D6"/>
    <w:rsid w:val="00A810C7"/>
    <w:rsid w:val="00A94B18"/>
    <w:rsid w:val="00AA3EC2"/>
    <w:rsid w:val="00AE30AE"/>
    <w:rsid w:val="00BB18E8"/>
    <w:rsid w:val="00BB4676"/>
    <w:rsid w:val="00BD33E1"/>
    <w:rsid w:val="00BE6061"/>
    <w:rsid w:val="00C32579"/>
    <w:rsid w:val="00C410DF"/>
    <w:rsid w:val="00C5703F"/>
    <w:rsid w:val="00C7509A"/>
    <w:rsid w:val="00CC4C44"/>
    <w:rsid w:val="00CE25EB"/>
    <w:rsid w:val="00D00DEC"/>
    <w:rsid w:val="00D36C7B"/>
    <w:rsid w:val="00D43C87"/>
    <w:rsid w:val="00D70BA9"/>
    <w:rsid w:val="00DC1DF5"/>
    <w:rsid w:val="00E53ACB"/>
    <w:rsid w:val="00E61DC7"/>
    <w:rsid w:val="00E755F4"/>
    <w:rsid w:val="00EB2037"/>
    <w:rsid w:val="00F621E4"/>
    <w:rsid w:val="00FC14D3"/>
    <w:rsid w:val="00FE2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A06D1-7CA2-4511-8BC8-0B3B4DB7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8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48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lauseprfx">
    <w:name w:val="clauseprfx"/>
    <w:basedOn w:val="a0"/>
    <w:rsid w:val="0026270D"/>
  </w:style>
  <w:style w:type="character" w:customStyle="1" w:styleId="clausesuff">
    <w:name w:val="clausesuff"/>
    <w:basedOn w:val="a0"/>
    <w:rsid w:val="0026270D"/>
  </w:style>
  <w:style w:type="character" w:styleId="a3">
    <w:name w:val="Hyperlink"/>
    <w:basedOn w:val="a0"/>
    <w:uiPriority w:val="99"/>
    <w:semiHidden/>
    <w:unhideWhenUsed/>
    <w:rsid w:val="0026270D"/>
    <w:rPr>
      <w:color w:val="0000FF"/>
      <w:u w:val="single"/>
    </w:rPr>
  </w:style>
  <w:style w:type="table" w:styleId="a4">
    <w:name w:val="Table Grid"/>
    <w:basedOn w:val="a1"/>
    <w:uiPriority w:val="39"/>
    <w:rsid w:val="00AA3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6D478C"/>
    <w:pPr>
      <w:spacing w:before="100" w:beforeAutospacing="1" w:after="100" w:afterAutospacing="1"/>
    </w:pPr>
  </w:style>
  <w:style w:type="character" w:customStyle="1" w:styleId="structures">
    <w:name w:val="structures"/>
    <w:basedOn w:val="a0"/>
    <w:rsid w:val="006D478C"/>
  </w:style>
  <w:style w:type="paragraph" w:customStyle="1" w:styleId="consplusnonformat">
    <w:name w:val="consplusnonformat"/>
    <w:basedOn w:val="a"/>
    <w:rsid w:val="006D478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025137">
      <w:bodyDiv w:val="1"/>
      <w:marLeft w:val="0"/>
      <w:marRight w:val="0"/>
      <w:marTop w:val="0"/>
      <w:marBottom w:val="0"/>
      <w:divBdr>
        <w:top w:val="none" w:sz="0" w:space="0" w:color="auto"/>
        <w:left w:val="none" w:sz="0" w:space="0" w:color="auto"/>
        <w:bottom w:val="none" w:sz="0" w:space="0" w:color="auto"/>
        <w:right w:val="none" w:sz="0" w:space="0" w:color="auto"/>
      </w:divBdr>
      <w:divsChild>
        <w:div w:id="1188838452">
          <w:marLeft w:val="0"/>
          <w:marRight w:val="0"/>
          <w:marTop w:val="120"/>
          <w:marBottom w:val="120"/>
          <w:divBdr>
            <w:top w:val="none" w:sz="0" w:space="0" w:color="auto"/>
            <w:left w:val="none" w:sz="0" w:space="0" w:color="auto"/>
            <w:bottom w:val="none" w:sz="0" w:space="0" w:color="auto"/>
            <w:right w:val="none" w:sz="0" w:space="0" w:color="auto"/>
          </w:divBdr>
        </w:div>
        <w:div w:id="810251565">
          <w:marLeft w:val="0"/>
          <w:marRight w:val="0"/>
          <w:marTop w:val="60"/>
          <w:marBottom w:val="60"/>
          <w:divBdr>
            <w:top w:val="none" w:sz="0" w:space="0" w:color="auto"/>
            <w:left w:val="none" w:sz="0" w:space="0" w:color="auto"/>
            <w:bottom w:val="none" w:sz="0" w:space="0" w:color="auto"/>
            <w:right w:val="none" w:sz="0" w:space="0" w:color="auto"/>
          </w:divBdr>
        </w:div>
        <w:div w:id="1734547500">
          <w:marLeft w:val="0"/>
          <w:marRight w:val="0"/>
          <w:marTop w:val="0"/>
          <w:marBottom w:val="150"/>
          <w:divBdr>
            <w:top w:val="none" w:sz="0" w:space="0" w:color="auto"/>
            <w:left w:val="none" w:sz="0" w:space="0" w:color="auto"/>
            <w:bottom w:val="none" w:sz="0" w:space="0" w:color="auto"/>
            <w:right w:val="none" w:sz="0" w:space="0" w:color="auto"/>
          </w:divBdr>
        </w:div>
        <w:div w:id="1858496465">
          <w:marLeft w:val="0"/>
          <w:marRight w:val="0"/>
          <w:marTop w:val="0"/>
          <w:marBottom w:val="150"/>
          <w:divBdr>
            <w:top w:val="none" w:sz="0" w:space="0" w:color="auto"/>
            <w:left w:val="none" w:sz="0" w:space="0" w:color="auto"/>
            <w:bottom w:val="none" w:sz="0" w:space="0" w:color="auto"/>
            <w:right w:val="none" w:sz="0" w:space="0" w:color="auto"/>
          </w:divBdr>
        </w:div>
        <w:div w:id="1819030399">
          <w:marLeft w:val="0"/>
          <w:marRight w:val="0"/>
          <w:marTop w:val="0"/>
          <w:marBottom w:val="150"/>
          <w:divBdr>
            <w:top w:val="none" w:sz="0" w:space="0" w:color="auto"/>
            <w:left w:val="none" w:sz="0" w:space="0" w:color="auto"/>
            <w:bottom w:val="none" w:sz="0" w:space="0" w:color="auto"/>
            <w:right w:val="none" w:sz="0" w:space="0" w:color="auto"/>
          </w:divBdr>
        </w:div>
      </w:divsChild>
    </w:div>
    <w:div w:id="769933368">
      <w:bodyDiv w:val="1"/>
      <w:marLeft w:val="0"/>
      <w:marRight w:val="0"/>
      <w:marTop w:val="0"/>
      <w:marBottom w:val="0"/>
      <w:divBdr>
        <w:top w:val="none" w:sz="0" w:space="0" w:color="auto"/>
        <w:left w:val="none" w:sz="0" w:space="0" w:color="auto"/>
        <w:bottom w:val="none" w:sz="0" w:space="0" w:color="auto"/>
        <w:right w:val="none" w:sz="0" w:space="0" w:color="auto"/>
      </w:divBdr>
      <w:divsChild>
        <w:div w:id="1444182115">
          <w:marLeft w:val="0"/>
          <w:marRight w:val="0"/>
          <w:marTop w:val="120"/>
          <w:marBottom w:val="120"/>
          <w:divBdr>
            <w:top w:val="none" w:sz="0" w:space="0" w:color="auto"/>
            <w:left w:val="none" w:sz="0" w:space="0" w:color="auto"/>
            <w:bottom w:val="none" w:sz="0" w:space="0" w:color="auto"/>
            <w:right w:val="none" w:sz="0" w:space="0" w:color="auto"/>
          </w:divBdr>
        </w:div>
        <w:div w:id="369693476">
          <w:marLeft w:val="0"/>
          <w:marRight w:val="0"/>
          <w:marTop w:val="60"/>
          <w:marBottom w:val="60"/>
          <w:divBdr>
            <w:top w:val="none" w:sz="0" w:space="0" w:color="auto"/>
            <w:left w:val="none" w:sz="0" w:space="0" w:color="auto"/>
            <w:bottom w:val="none" w:sz="0" w:space="0" w:color="auto"/>
            <w:right w:val="none" w:sz="0" w:space="0" w:color="auto"/>
          </w:divBdr>
        </w:div>
        <w:div w:id="1259677803">
          <w:marLeft w:val="0"/>
          <w:marRight w:val="0"/>
          <w:marTop w:val="0"/>
          <w:marBottom w:val="150"/>
          <w:divBdr>
            <w:top w:val="none" w:sz="0" w:space="0" w:color="auto"/>
            <w:left w:val="none" w:sz="0" w:space="0" w:color="auto"/>
            <w:bottom w:val="none" w:sz="0" w:space="0" w:color="auto"/>
            <w:right w:val="none" w:sz="0" w:space="0" w:color="auto"/>
          </w:divBdr>
        </w:div>
      </w:divsChild>
    </w:div>
    <w:div w:id="802581544">
      <w:bodyDiv w:val="1"/>
      <w:marLeft w:val="0"/>
      <w:marRight w:val="0"/>
      <w:marTop w:val="0"/>
      <w:marBottom w:val="0"/>
      <w:divBdr>
        <w:top w:val="none" w:sz="0" w:space="0" w:color="auto"/>
        <w:left w:val="none" w:sz="0" w:space="0" w:color="auto"/>
        <w:bottom w:val="none" w:sz="0" w:space="0" w:color="auto"/>
        <w:right w:val="none" w:sz="0" w:space="0" w:color="auto"/>
      </w:divBdr>
    </w:div>
    <w:div w:id="1620406474">
      <w:bodyDiv w:val="1"/>
      <w:marLeft w:val="0"/>
      <w:marRight w:val="0"/>
      <w:marTop w:val="0"/>
      <w:marBottom w:val="0"/>
      <w:divBdr>
        <w:top w:val="none" w:sz="0" w:space="0" w:color="auto"/>
        <w:left w:val="none" w:sz="0" w:space="0" w:color="auto"/>
        <w:bottom w:val="none" w:sz="0" w:space="0" w:color="auto"/>
        <w:right w:val="none" w:sz="0" w:space="0" w:color="auto"/>
      </w:divBdr>
      <w:divsChild>
        <w:div w:id="2102141787">
          <w:marLeft w:val="0"/>
          <w:marRight w:val="0"/>
          <w:marTop w:val="150"/>
          <w:marBottom w:val="300"/>
          <w:divBdr>
            <w:top w:val="none" w:sz="0" w:space="0" w:color="auto"/>
            <w:left w:val="none" w:sz="0" w:space="0" w:color="auto"/>
            <w:bottom w:val="none" w:sz="0" w:space="0" w:color="auto"/>
            <w:right w:val="none" w:sz="0" w:space="0" w:color="auto"/>
          </w:divBdr>
          <w:divsChild>
            <w:div w:id="1625650583">
              <w:marLeft w:val="0"/>
              <w:marRight w:val="0"/>
              <w:marTop w:val="0"/>
              <w:marBottom w:val="0"/>
              <w:divBdr>
                <w:top w:val="none" w:sz="0" w:space="0" w:color="auto"/>
                <w:left w:val="none" w:sz="0" w:space="0" w:color="auto"/>
                <w:bottom w:val="none" w:sz="0" w:space="0" w:color="auto"/>
                <w:right w:val="none" w:sz="0" w:space="0" w:color="auto"/>
              </w:divBdr>
              <w:divsChild>
                <w:div w:id="622493280">
                  <w:marLeft w:val="0"/>
                  <w:marRight w:val="0"/>
                  <w:marTop w:val="0"/>
                  <w:marBottom w:val="0"/>
                  <w:divBdr>
                    <w:top w:val="none" w:sz="0" w:space="0" w:color="auto"/>
                    <w:left w:val="none" w:sz="0" w:space="0" w:color="auto"/>
                    <w:bottom w:val="none" w:sz="0" w:space="0" w:color="auto"/>
                    <w:right w:val="none" w:sz="0" w:space="0" w:color="auto"/>
                  </w:divBdr>
                  <w:divsChild>
                    <w:div w:id="170054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9669">
              <w:marLeft w:val="0"/>
              <w:marRight w:val="0"/>
              <w:marTop w:val="0"/>
              <w:marBottom w:val="0"/>
              <w:divBdr>
                <w:top w:val="none" w:sz="0" w:space="0" w:color="auto"/>
                <w:left w:val="none" w:sz="0" w:space="0" w:color="auto"/>
                <w:bottom w:val="none" w:sz="0" w:space="0" w:color="auto"/>
                <w:right w:val="none" w:sz="0" w:space="0" w:color="auto"/>
              </w:divBdr>
              <w:divsChild>
                <w:div w:id="1710229047">
                  <w:marLeft w:val="0"/>
                  <w:marRight w:val="0"/>
                  <w:marTop w:val="0"/>
                  <w:marBottom w:val="0"/>
                  <w:divBdr>
                    <w:top w:val="none" w:sz="0" w:space="0" w:color="auto"/>
                    <w:left w:val="none" w:sz="0" w:space="0" w:color="auto"/>
                    <w:bottom w:val="none" w:sz="0" w:space="0" w:color="auto"/>
                    <w:right w:val="none" w:sz="0" w:space="0" w:color="auto"/>
                  </w:divBdr>
                  <w:divsChild>
                    <w:div w:id="1196583106">
                      <w:marLeft w:val="0"/>
                      <w:marRight w:val="0"/>
                      <w:marTop w:val="0"/>
                      <w:marBottom w:val="0"/>
                      <w:divBdr>
                        <w:top w:val="none" w:sz="0" w:space="0" w:color="auto"/>
                        <w:left w:val="none" w:sz="0" w:space="0" w:color="auto"/>
                        <w:bottom w:val="none" w:sz="0" w:space="0" w:color="auto"/>
                        <w:right w:val="none" w:sz="0" w:space="0" w:color="auto"/>
                      </w:divBdr>
                    </w:div>
                    <w:div w:id="2083792164">
                      <w:marLeft w:val="0"/>
                      <w:marRight w:val="0"/>
                      <w:marTop w:val="0"/>
                      <w:marBottom w:val="0"/>
                      <w:divBdr>
                        <w:top w:val="single" w:sz="6" w:space="4" w:color="ECECEC"/>
                        <w:left w:val="single" w:sz="6" w:space="13" w:color="ECECEC"/>
                        <w:bottom w:val="single" w:sz="6" w:space="4" w:color="ECECEC"/>
                        <w:right w:val="single" w:sz="6" w:space="13" w:color="ECECEC"/>
                      </w:divBdr>
                    </w:div>
                  </w:divsChild>
                </w:div>
              </w:divsChild>
            </w:div>
            <w:div w:id="343284701">
              <w:marLeft w:val="0"/>
              <w:marRight w:val="0"/>
              <w:marTop w:val="0"/>
              <w:marBottom w:val="0"/>
              <w:divBdr>
                <w:top w:val="none" w:sz="0" w:space="0" w:color="auto"/>
                <w:left w:val="none" w:sz="0" w:space="0" w:color="auto"/>
                <w:bottom w:val="none" w:sz="0" w:space="0" w:color="auto"/>
                <w:right w:val="none" w:sz="0" w:space="0" w:color="auto"/>
              </w:divBdr>
              <w:divsChild>
                <w:div w:id="1687174996">
                  <w:marLeft w:val="0"/>
                  <w:marRight w:val="0"/>
                  <w:marTop w:val="0"/>
                  <w:marBottom w:val="0"/>
                  <w:divBdr>
                    <w:top w:val="none" w:sz="0" w:space="0" w:color="auto"/>
                    <w:left w:val="none" w:sz="0" w:space="0" w:color="auto"/>
                    <w:bottom w:val="none" w:sz="0" w:space="0" w:color="auto"/>
                    <w:right w:val="none" w:sz="0" w:space="0" w:color="auto"/>
                  </w:divBdr>
                  <w:divsChild>
                    <w:div w:id="1498111966">
                      <w:marLeft w:val="0"/>
                      <w:marRight w:val="0"/>
                      <w:marTop w:val="0"/>
                      <w:marBottom w:val="0"/>
                      <w:divBdr>
                        <w:top w:val="none" w:sz="0" w:space="0" w:color="auto"/>
                        <w:left w:val="none" w:sz="0" w:space="0" w:color="auto"/>
                        <w:bottom w:val="none" w:sz="0" w:space="0" w:color="auto"/>
                        <w:right w:val="none" w:sz="0" w:space="0" w:color="auto"/>
                      </w:divBdr>
                      <w:divsChild>
                        <w:div w:id="1071079263">
                          <w:marLeft w:val="0"/>
                          <w:marRight w:val="0"/>
                          <w:marTop w:val="0"/>
                          <w:marBottom w:val="0"/>
                          <w:divBdr>
                            <w:top w:val="none" w:sz="0" w:space="0" w:color="auto"/>
                            <w:left w:val="none" w:sz="0" w:space="0" w:color="auto"/>
                            <w:bottom w:val="none" w:sz="0" w:space="0" w:color="auto"/>
                            <w:right w:val="none" w:sz="0" w:space="0" w:color="auto"/>
                          </w:divBdr>
                        </w:div>
                      </w:divsChild>
                    </w:div>
                    <w:div w:id="2054454657">
                      <w:marLeft w:val="0"/>
                      <w:marRight w:val="0"/>
                      <w:marTop w:val="0"/>
                      <w:marBottom w:val="0"/>
                      <w:divBdr>
                        <w:top w:val="none" w:sz="0" w:space="0" w:color="auto"/>
                        <w:left w:val="none" w:sz="0" w:space="0" w:color="auto"/>
                        <w:bottom w:val="none" w:sz="0" w:space="0" w:color="auto"/>
                        <w:right w:val="none" w:sz="0" w:space="0" w:color="auto"/>
                      </w:divBdr>
                      <w:divsChild>
                        <w:div w:id="16791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692</TotalTime>
  <Pages>4</Pages>
  <Words>858</Words>
  <Characters>4893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Rahimov Xudoyberdi</cp:lastModifiedBy>
  <cp:revision>26</cp:revision>
  <dcterms:created xsi:type="dcterms:W3CDTF">2023-04-26T10:05:00Z</dcterms:created>
  <dcterms:modified xsi:type="dcterms:W3CDTF">2025-03-14T05:37:00Z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Daʼvo ariza rekvizitlari</w:name>
    <w:value w:hidden="true">
      <w:unit w:active="false"/>
    </w:value>
  </w:element>
  <w:element w:id="2" w:kind="variable" w:type="string" w:valueMode="normal" w:required="false" w:groupID="1">
    <w:identifier xml:space="preserve">ID2</w:identifier>
    <w:name xml:space="preserve">Daʼvo ariza berilayotgan sud nomi </w:name>
    <w:value w:hidden="false">
      <w:unit w:active="false"/>
      <w:binding w:dataSource="1" w:column="court_name" w:search="false"/>
    </w:value>
  </w:element>
  <w:element w:id="3" w:kind="variable" w:type="string" w:valueMode="normal" w:required="false" w:groupID="1">
    <w:identifier xml:space="preserve">ID3</w:identifier>
    <w:name xml:space="preserve">Daʼvo ariza berilgan sana</w:name>
    <w:value w:hidden="false">
      <w:unit w:active="false"/>
    </w:value>
  </w:element>
  <w:element w:id="4" w:kind="category" w:type="string" w:valueMode="normal" w:required="false" w:groupID="4">
    <w:identifier xml:space="preserve">ID4</w:identifier>
    <w:name xml:space="preserve">Daʼvogar</w:name>
    <w:value w:hidden="true">
      <w:unit w:active="false"/>
    </w:value>
  </w:element>
  <w:element w:id="5" w:kind="variable" w:type="string" w:valueMode="normal" w:required="false" w:groupID="4">
    <w:identifier xml:space="preserve">ID5</w:identifier>
    <w:name xml:space="preserve">Daʼvo ariza berayotgan tashkilot nomi  va tashkiliy-huquqiy shakli (qoʻlda toʻldiriladi)</w:name>
    <w:value w:hidden="false">
      <w:unit w:active="false"/>
    </w:value>
  </w:element>
  <w:element w:id="6" w:kind="variable" w:type="string" w:valueMode="normal" w:required="false" w:groupID="4">
    <w:identifier xml:space="preserve">ID6</w:identifier>
    <w:name xml:space="preserve">Daʼvo ariza berayotgan tashkilot rahbarining F.I.Sh. (qoʻlda toʻldiriladi)</w:name>
    <w:value w:hidden="false">
      <w:unit w:active="false"/>
    </w:value>
  </w:element>
  <w:element w:id="7" w:kind="variable" w:type="string" w:valueMode="normal" w:required="false" w:groupID="4">
    <w:identifier xml:space="preserve">ID7</w:identifier>
    <w:name xml:space="preserve">Daʼvo ariza berayotgan tashkilotning manzili</w:name>
    <w:value w:hidden="false">
      <w:unit w:active="false"/>
    </w:value>
  </w:element>
  <w:element w:id="8" w:kind="category" w:type="string" w:valueMode="normal" w:required="false" w:groupID="8">
    <w:identifier xml:space="preserve">ID8</w:identifier>
    <w:name xml:space="preserve">Javobgar</w:name>
    <w:value w:hidden="true">
      <w:unit w:active="false"/>
    </w:value>
  </w:element>
  <w:element w:id="9" w:kind="variable" w:type="string" w:valueMode="normal" w:required="false" w:groupID="8">
    <w:identifier xml:space="preserve">ID9</w:identifier>
    <w:name xml:space="preserve">Javobgar tashkilot nomi  va tashkiliy-huquqiy shakli (qoʻlda toʻldiriladi)</w:name>
    <w:value w:hidden="false">
      <w:unit w:active="false"/>
    </w:value>
  </w:element>
  <w:element w:id="10" w:kind="variable" w:type="string" w:valueMode="normal" w:required="false" w:groupID="8">
    <w:identifier xml:space="preserve">ID10</w:identifier>
    <w:name xml:space="preserve">Javobgar tashkilotning manzili (qoʻlda toʻldiriladi)</w:name>
    <w:value w:hidden="false">
      <w:unit w:active="false"/>
    </w:value>
  </w:element>
  <w:element w:id="12" w:kind="category" w:type="string" w:valueMode="normal" w:required="false" w:groupID="12">
    <w:identifier xml:space="preserve">ID12</w:identifier>
    <w:name xml:space="preserve">Daʼvo ariza mazmuni</w:name>
    <w:value w:hidden="true">
      <w:unit w:active="false"/>
    </w:value>
  </w:element>
  <w:element w:id="13" w:kind="variable" w:type="string" w:valueMode="normal" w:required="false" w:groupID="12">
    <w:identifier xml:space="preserve">ID13</w:identifier>
    <w:name xml:space="preserve">Daʼvo ariza berish uchun asos boʻlgan shartnoma tuzilgan sana (kalendar)</w:name>
    <w:value w:hidden="false">
      <w:unit w:active="false"/>
    </w:value>
  </w:element>
  <w:element w:id="14" w:kind="variable" w:type="string" w:valueMode="normal" w:required="false" w:groupID="12">
    <w:identifier xml:space="preserve">ID14</w:identifier>
    <w:name xml:space="preserve"> Daʼvo ariza berish uchun asos boʻlgan shartnoma raqami (qoʻlda toʻldiriladi)</w:name>
    <w:value w:hidden="false">
      <w:unit w:active="false"/>
    </w:value>
  </w:element>
  <w:element w:id="15" w:kind="variable" w:type="string" w:valueMode="normal" w:required="false" w:groupID="12">
    <w:identifier xml:space="preserve">ID15</w:identifier>
    <w:name xml:space="preserve">Shartnoma qiymati (qoʻlda toʻldiriladi)</w:name>
    <w:value w:hidden="false">
      <w:unit w:active="false"/>
    </w:value>
  </w:element>
  <w:element w:id="16" w:kind="variable" w:type="string" w:valueMode="normal" w:required="false" w:groupID="12">
    <w:identifier xml:space="preserve">ID16</w:identifier>
    <w:name xml:space="preserve">Shartnoma boʻyicha ijaraga berilgan ashyolar nomi</w:name>
    <w:value w:hidden="false">
      <w:unit w:active="false"/>
    </w:value>
  </w:element>
  <w:element w:id="17" w:kind="variable" w:type="string" w:valueMode="normal" w:required="false" w:groupID="12">
    <w:identifier xml:space="preserve">ID17</w:identifier>
    <w:name xml:space="preserve">Shartnoma boʻyicha ijaraga berilgan ashyolar soni</w:name>
    <w:value w:hidden="false">
      <w:unit w:active="false"/>
    </w:value>
  </w:element>
  <w:element w:id="18" w:kind="variable" w:type="string" w:valueMode="normal" w:required="false" w:groupID="12">
    <w:identifier xml:space="preserve">ID18</w:identifier>
    <w:name xml:space="preserve">Ijaraga berilgan ashyolarni topshirish boʻyicha dalolatnoma tuzilgan sana </w:name>
    <w:value w:hidden="false">
      <w:unit w:active="false"/>
    </w:value>
  </w:element>
  <w:element w:id="19" w:kind="variable" w:type="string" w:valueMode="normal" w:required="false" w:groupID="12">
    <w:identifier xml:space="preserve">ID19</w:identifier>
    <w:name xml:space="preserve">Shartnomaning ijara puli oʻz vaqtida toʻlanishi lozimligi belgilangan bandi raqami</w:name>
    <w:value w:hidden="false">
      <w:unit w:active="false"/>
    </w:value>
  </w:element>
  <w:element w:id="20" w:kind="variable" w:type="string" w:valueMode="normal" w:required="false" w:groupID="12">
    <w:identifier xml:space="preserve">ID20</w:identifier>
    <w:name xml:space="preserve">Shartnomaga asosan ijara haqi shartnoma tuzilganidan soʻng necha ish kunida toʻlanishi lozim?</w:name>
    <w:value w:hidden="false">
      <w:unit w:active="false"/>
    </w:value>
  </w:element>
  <w:element w:id="21" w:kind="variable" w:type="string" w:valueMode="normal" w:required="false" w:groupID="12">
    <w:identifier xml:space="preserve">ID21</w:identifier>
    <w:name xml:space="preserve">Shartnomaning ijaraga oluvchi ijara haqini oʻz vaqtida toʻlashi lozimligi belgilangan bandi raqami</w:name>
    <w:value w:hidden="false">
      <w:unit w:active="false"/>
    </w:value>
  </w:element>
  <w:element w:id="22" w:kind="variable" w:type="string" w:valueMode="normal" w:required="false" w:groupID="12">
    <w:identifier xml:space="preserve">ID22</w:identifier>
    <w:name xml:space="preserve">Qarzdor tomonidan toʻlanishi lozim boʻlgan qarz miqdori (qoʻlda toʻldiriladi)</w:name>
    <w:value w:hidden="false">
      <w:unit w:active="false"/>
    </w:value>
  </w:element>
  <w:element w:id="23" w:kind="variable" w:type="string" w:valueMode="normal" w:required="false" w:groupID="12">
    <w:identifier xml:space="preserve">ID23</w:identifier>
    <w:name xml:space="preserve"> Qarzdor tomonidan toʻlanishi lozim boʻlgan jarima miqdori (qoʻlda toʻldiriladi)</w:name>
    <w:value w:hidden="false">
      <w:unit w:active="false"/>
    </w:value>
  </w:element>
  <w:element w:id="24" w:kind="variable" w:type="string" w:valueMode="normal" w:required="false" w:groupID="12">
    <w:identifier xml:space="preserve">ID24</w:identifier>
    <w:name xml:space="preserve">Qarzdor tomonidan toʻlanishi lozim boʻlgan penya miqdori (qoʻlda toʻldiriladi)</w:name>
    <w:value w:hidden="false">
      <w:unit w:active="false"/>
    </w:value>
  </w:element>
</w:structure>
</file>