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1832"/>
        <w:gridCol w:w="4420"/>
      </w:tblGrid>
      <w:tr>
        <w:tc>
          <w:tcPr>
            <w:tcW w:w="3190" w:type="dxa"/>
          </w:tcPr>
          <w:p>
            <w:pPr>
              <w:jc w:val="center"/>
              <w:rPr>
                <w:b/>
                <w:sz w:val="28"/>
                <w:rFonts w:ascii="Times New Roman" w:hAnsi="Times New Roman"/>
              </w:rPr>
            </w:pPr>
          </w:p>
        </w:tc>
        <w:tc>
          <w:tcPr>
            <w:tcW w:w="1880" w:type="dxa"/>
          </w:tcPr>
          <w:p>
            <w:pPr>
              <w:jc w:val="center"/>
              <w:rPr>
                <w:b/>
                <w:sz w:val="28"/>
                <w:rFonts w:ascii="Times New Roman" w:hAnsi="Times New Roman"/>
              </w:rPr>
            </w:pPr>
          </w:p>
        </w:tc>
        <w:tc>
          <w:tcPr>
            <w:tcW w:w="4501" w:type="dxa"/>
          </w:tcPr>
          <w:p>
            <w:pPr>
              <w:jc w:val="both"/>
              <w:spacing w:line="276" w:lineRule="auto"/>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t xml:space="preserve">Iqtisodiy ishlar bo‘yicha shahar yoki tumanlararo sudining nomi</w:t>
            </w:r>
            <w:r>
              <w:rPr>
                <w:b/>
                <w:vanish w:val="false"/>
                <w:sz w:val="28"/>
                <w:rFonts w:ascii="Times New Roman" w:hAnsi="Times New Roman"/>
              </w:rPr>
              <w:fldChar w:fldCharType="end"/>
            </w:r>
            <w:r>
              <w:rPr>
                <w:b/>
                <w:sz w:val="28"/>
                <w:rFonts w:ascii="Times New Roman" w:hAnsi="Times New Roman"/>
              </w:rPr>
              <w:t xml:space="preserve"> sudiga</w:t>
            </w:r>
          </w:p>
          <w:p>
            <w:pPr>
              <w:jc w:val="center"/>
              <w:rPr>
                <w:b/>
                <w:sz w:val="28"/>
                <w:rFonts w:ascii="Times New Roman" w:hAnsi="Times New Roman"/>
              </w:rPr>
            </w:pPr>
          </w:p>
        </w:tc>
      </w:tr>
      <w:tr>
        <w:tc>
          <w:tcPr>
            <w:tcW w:w="3190" w:type="dxa"/>
          </w:tcPr>
          <w:p>
            <w:pPr>
              <w:jc w:val="center"/>
              <w:rPr>
                <w:b/>
                <w:sz w:val="28"/>
                <w:rFonts w:ascii="Times New Roman" w:hAnsi="Times New Roman"/>
              </w:rPr>
            </w:pPr>
          </w:p>
        </w:tc>
        <w:tc>
          <w:tcPr>
            <w:tcW w:w="1880" w:type="dxa"/>
          </w:tcPr>
          <w:p>
            <w:pPr>
              <w:jc w:val="center"/>
              <w:rPr>
                <w:b/>
                <w:sz w:val="28"/>
                <w:rFonts w:ascii="Times New Roman" w:hAnsi="Times New Roman"/>
              </w:rPr>
            </w:pPr>
          </w:p>
        </w:tc>
        <w:tc>
          <w:tcPr>
            <w:tcW w:w="4501" w:type="dxa"/>
          </w:tcPr>
          <w:p>
            <w:pPr>
              <w:jc w:val="both"/>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Arizachi yuridik shaxsning nomi va tashkiliy huquqiy shakli </w:t>
            </w:r>
            <w:r>
              <w:rPr>
                <w:b/>
                <w:vanish w:val="false"/>
                <w:sz w:val="28"/>
                <w:rFonts w:ascii="Times New Roman" w:hAnsi="Times New Roman"/>
              </w:rPr>
              <w:fldChar w:fldCharType="end"/>
            </w:r>
            <w:r>
              <w:rPr>
                <w:b/>
                <w:sz w:val="28"/>
                <w:rFonts w:ascii="Times New Roman" w:hAnsi="Times New Roman"/>
              </w:rPr>
              <w:t xml:space="preserve"> rahbari </w:t>
            </w:r>
            <w:r>
              <w:rPr>
                <w:b/>
                <w:vanish w:val="false"/>
                <w:sz w:val="28"/>
                <w:rFonts w:ascii="Times New Roman" w:hAnsi="Times New Roman"/>
              </w:rPr>
              <w:fldChar w:fldCharType="begin"/>
              <w:instrText xml:space="preserve">X {"Y":12}</w:instrText>
              <w:fldChar w:fldCharType="separate"/>
              <w:t xml:space="preserve">Arizachi yuridik shaxs rahbarining F.I.Sh.i</w:t>
            </w:r>
            <w:r>
              <w:rPr>
                <w:b/>
                <w:vanish w:val="false"/>
                <w:sz w:val="28"/>
                <w:rFonts w:ascii="Times New Roman" w:hAnsi="Times New Roman"/>
              </w:rPr>
              <w:fldChar w:fldCharType="end"/>
            </w:r>
            <w:r>
              <w:rPr>
                <w:b/>
                <w:sz w:val="28"/>
                <w:rFonts w:ascii="Times New Roman" w:hAnsi="Times New Roman"/>
              </w:rPr>
              <w:t xml:space="preserve"> tomonidan</w:t>
            </w:r>
          </w:p>
        </w:tc>
      </w:tr>
    </w:tbl>
    <w:p>
      <w:pPr>
        <w:jc w:val="center"/>
        <w:spacing w:after="0"/>
        <w:rPr>
          <w:b/>
          <w:sz w:val="28"/>
          <w:rFonts w:ascii="Times New Roman" w:hAnsi="Times New Roman"/>
        </w:rPr>
      </w:pPr>
    </w:p>
    <w:p>
      <w:pPr>
        <w:jc w:val="cente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(Sudning hal qiluv qarorini yangi ochilgan holatlar bo‘yicha,</w:t>
      </w:r>
    </w:p>
    <w:p>
      <w:pPr>
        <w:jc w:val="center"/>
        <w:spacing w:after="0"/>
        <w:rPr>
          <w:sz w:val="28"/>
          <w:rFonts w:ascii="Times New Roman" w:hAnsi="Times New Roman"/>
        </w:rPr>
      </w:pPr>
      <w:r>
        <w:rPr>
          <w:sz w:val="28"/>
          <w:rFonts w:ascii="Times New Roman" w:hAnsi="Times New Roman"/>
        </w:rPr>
        <w:t xml:space="preserve"> qayta ko‘rish to‘g‘risida)</w:t>
      </w:r>
    </w:p>
    <w:p>
      <w:pPr>
        <w:jc w:val="center"/>
        <w:spacing w:after="0"/>
        <w:rPr>
          <w:sz w:val="28"/>
          <w:rFonts w:ascii="Times New Roman" w:hAnsi="Times New Roman"/>
        </w:rPr>
      </w:pPr>
    </w:p>
    <w:p>
      <w:pPr>
        <w:jc w:val="both"/>
        <w:spacing w:after="0"/>
        <w:rPr>
          <w:sz w:val="28"/>
          <w:rFonts w:ascii="Times New Roman" w:hAnsi="Times New Roman"/>
        </w:rPr>
      </w:pPr>
      <w:r>
        <w:rPr>
          <w:sz w:val="28"/>
          <w:rFonts w:ascii="Times New Roman" w:hAnsi="Times New Roman"/>
        </w:rPr>
        <w:tab/>
        <w:t xml:space="preserve">Mazkur arizani berishimizdan asosiy maqsad iqtisodiy ishlar bo‘yicha </w:t>
      </w:r>
      <w:r>
        <w:rPr>
          <w:vanish w:val="false"/>
          <w:sz w:val="28"/>
          <w:rFonts w:ascii="Times New Roman" w:hAnsi="Times New Roman"/>
        </w:rPr>
        <w:fldChar w:fldCharType="begin"/>
        <w:instrText xml:space="preserve">X {"Y":5}</w:instrText>
        <w:fldChar w:fldCharType="separate"/>
        <w:t xml:space="preserve">Fuqarolik ishini ko‘rib chiqqan sudning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{"Y":6}</w:instrText>
        <w:fldChar w:fldCharType="separate"/>
        <w:t xml:space="preserve">Hal qiluv qarori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{"Y":7}</w:instrText>
        <w:fldChar w:fldCharType="separate"/>
        <w:t xml:space="preserve">yangi ochilgan holatlar bo‘yicha qayta ko‘rishni talab qilayotgan sud hujjatini qabul qilgan sud ishining raqami</w:t>
      </w:r>
      <w:r>
        <w:rPr>
          <w:vanish w:val="false"/>
          <w:sz w:val="28"/>
          <w:rFonts w:ascii="Times New Roman" w:hAnsi="Times New Roman"/>
        </w:rPr>
        <w:fldChar w:fldCharType="end"/>
      </w:r>
      <w:r>
        <w:rPr>
          <w:sz w:val="28"/>
          <w:rFonts w:ascii="Times New Roman" w:hAnsi="Times New Roman"/>
        </w:rPr>
        <w:t xml:space="preserve">-sonli hal qiluv qarori bilan mening javobgar </w:t>
      </w:r>
      <w:r>
        <w:rPr>
          <w:vanish w:val="false"/>
          <w:sz w:val="28"/>
          <w:rFonts w:ascii="Times New Roman" w:hAnsi="Times New Roman"/>
        </w:rPr>
        <w:fldChar w:fldCharType="begin"/>
        <w:instrText xml:space="preserve">X {"Y":8}</w:instrText>
        <w:fldChar w:fldCharType="separate"/>
        <w:t xml:space="preserve">Javobgarning familiyasi, ismi va otasining ismi (nomi), yashash joyi (joylashgan yeri) va pochta manzili</w:t>
      </w:r>
      <w:r>
        <w:rPr>
          <w:vanish w:val="false"/>
          <w:sz w:val="28"/>
          <w:rFonts w:ascii="Times New Roman" w:hAnsi="Times New Roman"/>
        </w:rPr>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{"Y":9}</w:instrText>
        <w:fldChar w:fldCharType="separate"/>
        <w:t xml:space="preserve">Da’voning mazmuni</w:t>
      </w:r>
      <w:r>
        <w:rPr>
          <w:vanish w:val="false"/>
          <w:sz w:val="28"/>
          <w:rFonts w:ascii="Times New Roman" w:hAnsi="Times New Roman"/>
        </w:rPr>
        <w:fldChar w:fldCharType="end"/>
      </w:r>
      <w:r>
        <w:rPr>
          <w:sz w:val="28"/>
          <w:rFonts w:ascii="Times New Roman" w:hAnsi="Times New Roman"/>
        </w:rPr>
        <w:t xml:space="preserve"> haqidagi da’vo arizam rad qilingan.</w:t>
      </w:r>
    </w:p>
    <w:p>
      <w:pPr>
        <w:jc w:val="both"/>
        <w:ind w:firstLine="708"/>
        <w:spacing w:after="0"/>
        <w:rPr>
          <w:color w:val="000000"/>
          <w:sz w:val="28"/>
          <w:rFonts w:ascii="Times New Roman" w:hAnsi="Times New Roman"/>
        </w:rPr>
      </w:pPr>
      <w:r>
        <w:rPr>
          <w:sz w:val="28"/>
          <w:rFonts w:ascii="Times New Roman" w:hAnsi="Times New Roman"/>
        </w:rPr>
        <w:t xml:space="preserve">O‘zbekiston Respublikasi iqtisodiy protsessual kodeksining 325-moddasiga ko‘ra </w:t>
      </w:r>
      <w:r>
        <w:rPr>
          <w:color w:val="000000"/>
          <w:sz w:val="28"/>
          <w:rFonts w:ascii="Times New Roman" w:hAnsi="Times New Roman"/>
        </w:rPr>
        <w:t xml:space="preserve">sud o‘zi qabul qilgan hamda qonuniy kuchga kirgan sud hujjatini yangi ochilgan holatlar bo‘yicha qayta ko‘rishi mumkin.</w:t>
      </w:r>
    </w:p>
    <w:p>
      <w:pPr>
        <w:jc w:val="both"/>
        <w:ind w:firstLine="708"/>
        <w:spacing w:after="0"/>
        <w:rPr>
          <w:color w:val="000000"/>
          <w:sz w:val="28"/>
          <w:rFonts w:ascii="Times New Roman" w:hAnsi="Times New Roman"/>
        </w:rPr>
      </w:pPr>
      <w:r>
        <w:rPr>
          <w:sz w:val="28"/>
          <w:rFonts w:ascii="Times New Roman" w:hAnsi="Times New Roman"/>
        </w:rPr>
        <w:t xml:space="preserve">Mazkur Kodeksning 327-moddasiga ko‘ra, </w:t>
      </w:r>
      <w:r>
        <w:rPr>
          <w:color w:val="000000"/>
          <w:sz w:val="28"/>
          <w:rFonts w:ascii="Times New Roman" w:hAnsi="Times New Roman"/>
        </w:rPr>
        <w:t xml:space="preserve">qonuniy kuchga kirgan sud hujjatlarini yangi ochilgan holatlar bo‘yicha qayta ko‘rish uchun sud hujjati qabul qilingan paytda mavjud bo‘lgan, lekin arizachiga ma’lum bo‘lmagan va ma’lum bo‘lishi mumkin bo‘lmagan, ish uchun muhim holatlar, ekspertning bila turib yolg‘on xulosa berganligi, guvohning bila turib yolg‘on ko‘rsatuvlar berganligi, bila turib noto‘g‘ri tarjima qilinganligi sudning qonuniy kuchga kirgan hukmi bilan aniqlangan bo‘lsa va mazkur ish bo‘yicha qonunga xilof yoki asoslanmagan sud hujjati qabul qilinishiga sabab bo‘lgan bo‘lsa, ishda ishtirok etuvchi shaxsning yoki uning vakilining yoxud sudyaning mazkur ishni ko‘rish chog‘ida sodir etilgan, sudning qonuniy kuchga kirgan hukmi, ajrimi bilan aniqlangan jinoiy qilmishlari, iqtisodiy sudning, fuqarolik ishlari bo‘yicha sudning, jinoyat ishlari bo‘yicha sudning yoki ma’muriy sudning mazkur ish bo‘yicha sud hujjatini qabul qilishga asos bo‘lgan sud hujjati yoxud boshqa organning shunday hujjati bekor qilinganligi asos bo‘ladi. </w:t>
      </w:r>
    </w:p>
    <w:p>
      <w:pPr>
        <w:jc w:val="both"/>
        <w:spacing w:after="0"/>
        <w:rPr>
          <w:color w:val="000000"/>
          <w:sz w:val="28"/>
          <w:rFonts w:ascii="Times New Roman" w:hAnsi="Times New Roman"/>
        </w:rPr>
      </w:pPr>
      <w:r>
        <w:rPr>
          <w:color w:val="000000"/>
          <w:sz w:val="28"/>
          <w:rFonts w:ascii="Times New Roman" w:hAnsi="Times New Roman"/>
        </w:rPr>
        <w:tab/>
        <w:t xml:space="preserve">Shuningdek, ushbu Kodeksning 328-moddasiga ko‘ra, qonuniy kuchga kirgan sud hujjatini yangi ochilgan holatlar bo‘yicha qayta ko‘rish to‘g‘risidagi ariza ushbu sud hujjatini qabul qilgan sudga sud hujjatini qayta ko‘rish uchun asos bo‘ladigan holatlar ochilgan kundan e’tiboran bir oydan kechiktirmay, ishda ishtirok etuvchi shaxslar tomonidan beriladi.</w:t>
      </w:r>
    </w:p>
    <w:p>
      <w:pPr>
        <w:jc w:val="both"/>
        <w:spacing w:after="0"/>
        <w:rPr>
          <w:sz w:val="28"/>
          <w:rFonts w:ascii="Times New Roman" w:hAnsi="Times New Roman"/>
        </w:rPr>
      </w:pPr>
      <w:r>
        <w:rPr>
          <w:sz w:val="28"/>
          <w:rFonts w:ascii="Times New Roman" w:hAnsi="Times New Roman"/>
        </w:rPr>
        <w:tab/>
        <w:t xml:space="preserve">Hozirda ish ko‘rib chiqilgan paytda biz</w:t>
      </w:r>
      <w:r>
        <w:rPr>
          <w:color w:val="000000"/>
          <w:sz w:val="28"/>
          <w:rFonts w:ascii="Times New Roman" w:hAnsi="Times New Roman"/>
        </w:rPr>
        <w:t xml:space="preserve">ga ma’lum bo‘lmagan va ma’lum bo‘lishi mumkin bo‘lmagan</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t xml:space="preserve">Hal qiluv qarorini yangi ochilgan holat bo‘yicha qayta ko‘rib chiqishga sabab bo‘lgan holatlar</w:t>
      </w:r>
      <w:r>
        <w:rPr>
          <w:vanish w:val="false"/>
          <w:sz w:val="28"/>
          <w:rFonts w:ascii="Times New Roman" w:hAnsi="Times New Roman"/>
        </w:rPr>
        <w:fldChar w:fldCharType="end"/>
      </w:r>
      <w:r>
        <w:rPr>
          <w:sz w:val="28"/>
          <w:rFonts w:ascii="Times New Roman" w:hAnsi="Times New Roman"/>
        </w:rPr>
        <w:t xml:space="preserve"> kabi holatlar kelib chiqdi. Ushbu holatlar </w:t>
      </w:r>
      <w:r>
        <w:rPr>
          <w:vanish w:val="false"/>
          <w:sz w:val="28"/>
          <w:rFonts w:ascii="Times New Roman" w:hAnsi="Times New Roman"/>
        </w:rPr>
        <w:fldChar w:fldCharType="begin"/>
        <w:instrText xml:space="preserve">X {"Y":6}</w:instrText>
        <w:fldChar w:fldCharType="separate"/>
        <w:t xml:space="preserve">Hal qiluv qarori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{"Y":7}</w:instrText>
        <w:fldChar w:fldCharType="separate"/>
        <w:t xml:space="preserve">yangi ochilgan holatlar bo‘yicha qayta ko‘rishni talab qilayotgan sud hujjatini qabul qilgan sud ishining raqami</w:t>
      </w:r>
      <w:r>
        <w:rPr>
          <w:vanish w:val="false"/>
          <w:sz w:val="28"/>
          <w:rFonts w:ascii="Times New Roman" w:hAnsi="Times New Roman"/>
        </w:rPr>
        <w:fldChar w:fldCharType="end"/>
      </w:r>
      <w:r>
        <w:rPr>
          <w:sz w:val="28"/>
          <w:rFonts w:ascii="Times New Roman" w:hAnsi="Times New Roman"/>
        </w:rPr>
        <w:t xml:space="preserve">-sonli hal qiluv qarorini bekor qilishga asos bo‘ladi deb hisoblaymiz. </w:t>
      </w:r>
    </w:p>
    <w:p>
      <w:pPr>
        <w:jc w:val="both"/>
        <w:spacing w:after="0"/>
        <w:rPr>
          <w:sz w:val="28"/>
          <w:rFonts w:ascii="Times New Roman" w:hAnsi="Times New Roman"/>
        </w:rPr>
      </w:pPr>
      <w:r>
        <w:rPr>
          <w:sz w:val="28"/>
          <w:rFonts w:ascii="Times New Roman" w:hAnsi="Times New Roman"/>
        </w:rPr>
        <w:tab/>
        <w:t xml:space="preserve">Yuqoridagilardan kelib chiqqan holda </w:t>
      </w:r>
      <w:r>
        <w:rPr>
          <w:vanish w:val="false"/>
          <w:sz w:val="28"/>
          <w:rFonts w:ascii="Times New Roman" w:hAnsi="Times New Roman"/>
        </w:rPr>
        <w:fldChar w:fldCharType="begin"/>
        <w:instrText xml:space="preserve">X {"Y":5}</w:instrText>
        <w:fldChar w:fldCharType="separate"/>
        <w:t xml:space="preserve">Fuqarolik ishini ko‘rib chiqqan sudning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{"Y":6}</w:instrText>
        <w:fldChar w:fldCharType="separate"/>
        <w:t xml:space="preserve">Hal qiluv qarori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{"Y":7}</w:instrText>
        <w:fldChar w:fldCharType="separate"/>
        <w:t xml:space="preserve">yangi ochilgan holatlar bo‘yicha qayta ko‘rishni talab qilayotgan sud hujjatini qabul qilgan sud ishining raqami</w:t>
      </w:r>
      <w:r>
        <w:rPr>
          <w:vanish w:val="false"/>
          <w:sz w:val="28"/>
          <w:rFonts w:ascii="Times New Roman" w:hAnsi="Times New Roman"/>
        </w:rPr>
        <w:fldChar w:fldCharType="end"/>
      </w:r>
      <w:r>
        <w:rPr>
          <w:sz w:val="28"/>
          <w:rFonts w:ascii="Times New Roman" w:hAnsi="Times New Roman"/>
        </w:rPr>
        <w:t xml:space="preserve">-sonli hal qiluv qarorini yangi ochilgan holatlar bo‘yicha fuqarolik ishini qayta ko‘rishingizni so‘rayman.</w:t>
      </w:r>
    </w:p>
    <w:p>
      <w:pPr>
        <w:jc w:val="both"/>
        <w:spacing w:after="0"/>
        <w:tabs>
          <w:tab w:val="left" w:pos="1005"/>
        </w:tabs>
        <w:rPr>
          <w:sz w:val="28"/>
          <w:rFonts w:ascii="Times New Roman" w:hAnsi="Times New Roman"/>
        </w:rPr>
      </w:pPr>
    </w:p>
    <w:p>
      <w:pPr>
        <w:jc w:val="both"/>
        <w:ind w:firstLine="567"/>
        <w:spacing w:after="0"/>
        <w:tabs>
          <w:tab w:val="left" w:pos="1005"/>
        </w:tabs>
        <w:rPr>
          <w:sz w:val="28"/>
          <w:rFonts w:ascii="Times New Roman" w:hAnsi="Times New Roman"/>
        </w:rPr>
      </w:pPr>
      <w:r>
        <w:rPr>
          <w:sz w:val="28"/>
          <w:rFonts w:ascii="Times New Roman" w:hAnsi="Times New Roman"/>
        </w:rPr>
        <w:t xml:space="preserve">Ilova qiliniayotgan hujjatlar:</w:t>
      </w:r>
    </w:p>
    <w:p>
      <w:pPr>
        <w:jc w:val="both"/>
        <w:ind w:firstLine="567"/>
        <w:spacing w:after="0"/>
        <w:tabs>
          <w:tab w:val="left" w:pos="1005"/>
        </w:tabs>
        <w:rPr>
          <w:sz w:val="28"/>
          <w:rFonts w:ascii="Times New Roman" w:hAnsi="Times New Roman"/>
        </w:rPr>
      </w:pPr>
      <w:r>
        <w:rPr>
          <w:sz w:val="28"/>
          <w:rFonts w:ascii="Times New Roman" w:hAnsi="Times New Roman"/>
        </w:rPr>
        <w:t xml:space="preserve">1. Yangi ochilgan holatlarni tasdiqlovchi hujjatlarning ko‘chirma nusxalari;</w:t>
      </w:r>
    </w:p>
    <w:p>
      <w:pPr>
        <w:jc w:val="both"/>
        <w:ind w:firstLine="567"/>
        <w:spacing w:after="0"/>
        <w:tabs>
          <w:tab w:val="left" w:pos="1005"/>
        </w:tabs>
        <w:rPr>
          <w:sz w:val="28"/>
          <w:rFonts w:ascii="Times New Roman" w:hAnsi="Times New Roman"/>
        </w:rPr>
      </w:pPr>
      <w:r>
        <w:rPr>
          <w:sz w:val="28"/>
          <w:rFonts w:ascii="Times New Roman" w:hAnsi="Times New Roman"/>
        </w:rPr>
        <w:t xml:space="preserve">2. Vakilning akolatlarini tasdiqlovchi hujjat.</w:t>
      </w:r>
    </w:p>
    <w:p>
      <w:pPr>
        <w:jc w:val="both"/>
        <w:spacing w:after="0"/>
        <w:rPr>
          <w:sz w:val="28"/>
          <w:rFonts w:ascii="Times New Roman" w:hAnsi="Times New Roman"/>
        </w:rPr>
      </w:pPr>
    </w:p>
    <w:p>
      <w:pPr>
        <w:jc w:val="both"/>
        <w:spacing w:after="0"/>
        <w:rPr>
          <w:sz w:val="28"/>
          <w:rFonts w:ascii="Times New Roman" w:hAnsi="Times New Roman"/>
        </w:rPr>
      </w:pPr>
    </w:p>
    <w:p>
      <w:pPr>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Arizachi yuridik shaxsning nomi va tashkiliy huquqiy shakli </w:t>
      </w:r>
      <w:r>
        <w:rPr>
          <w:vanish w:val="false"/>
          <w:sz w:val="28"/>
          <w:rFonts w:ascii="Times New Roman" w:hAnsi="Times New Roman"/>
        </w:rPr>
        <w:fldChar w:fldCharType="end"/>
      </w:r>
      <w:r>
        <w:rPr>
          <w:sz w:val="28"/>
          <w:rFonts w:ascii="Times New Roman" w:hAnsi="Times New Roman"/>
        </w:rPr>
        <w:tab/>
        <w:tab/>
        <w:tab/>
        <w:tab/>
      </w:r>
      <w:r>
        <w:rPr>
          <w:vanish w:val="false"/>
          <w:sz w:val="28"/>
          <w:rFonts w:ascii="Times New Roman" w:hAnsi="Times New Roman"/>
        </w:rPr>
        <w:fldChar w:fldCharType="begin"/>
        <w:instrText xml:space="preserve">X {"Y":4}</w:instrText>
        <w:fldChar w:fldCharType="separate"/>
      </w:r>
    </w:p>
    <w:p>
      <w:pPr>
        <w:spacing w:after="0"/>
        <w:rPr>
          <w:sz w:val="28"/>
          <w:rFonts w:ascii="Times New Roman" w:hAnsi="Times New Roman"/>
        </w:rPr>
      </w:pPr>
      <w:r>
        <w:rPr>
          <w:vanish w:val="false"/>
          <w:sz w:val="28"/>
          <w:rFonts w:ascii="Times New Roman" w:hAnsi="Times New Roman"/>
        </w:rPr>
      </w:r>
    </w:p>
    <w:p>
      <w:pPr>
        <w:spacing w:after="0"/>
        <w:rPr>
          <w:sz w:val="28"/>
          <w:rFonts w:ascii="Times New Roman" w:hAnsi="Times New Roman"/>
        </w:rPr>
      </w:pPr>
      <w:r>
        <w:rPr>
          <w:vanish w:val="false"/>
          <w:sz w:val="28"/>
          <w:rFonts w:ascii="Times New Roman" w:hAnsi="Times New Roman"/>
        </w:rPr>
      </w:r>
    </w:p>
    <w:p>
      <w:pPr>
        <w:spacing w:after="0"/>
        <w:rPr>
          <w:sz w:val="28"/>
          <w:rFonts w:ascii="Times New Roman" w:hAnsi="Times New Roman"/>
        </w:rPr>
      </w:pPr>
      <w:r>
        <w:rPr>
          <w:vanish w:val="false"/>
          <w:sz w:val="28"/>
          <w:rFonts w:ascii="Times New Roman" w:hAnsi="Times New Roman"/>
        </w:rPr>
        <w:t xml:space="preserve">Ariza imzolangan sana</w:t>
      </w:r>
      <w:r>
        <w:rPr>
          <w:vanish w:val="false"/>
          <w:sz w:val="28"/>
          <w:rFonts w:ascii="Times New Roman" w:hAnsi="Times New Roman"/>
        </w:rPr>
        <w:fldChar w:fldCharType="end"/>
      </w:r>
    </w:p>
    <w:p>
      <w:pPr>
        <w:spacing w:after="0"/>
        <w:rPr>
          <w:sz w:val="28"/>
          <w:rFonts w:ascii="Times New Roman" w:hAnsi="Times New Roman"/>
        </w:rPr>
      </w:pPr>
      <w:r>
        <w:rPr>
          <w:sz w:val="28"/>
          <w:rFonts w:ascii="Times New Roman" w:hAnsi="Times New Roman"/>
        </w:rPr>
        <w:tab/>
        <w:tab/>
        <w:tab/>
        <w:tab/>
        <w:tab/>
        <w:tab/>
        <w:tab/>
        <w:tab/>
        <w:t>Imzo______________</w:t>
      </w:r>
    </w:p>
    <w:p>
      <w:pPr>
        <w:jc w:val="center"/>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2F2"/>
    <w:rsid w:val="000026C4"/>
    <w:rsid w:val="00023982"/>
    <w:rsid w:val="00035A28"/>
    <w:rsid w:val="000516BF"/>
    <w:rsid w:val="00130D3F"/>
    <w:rsid w:val="00196050"/>
    <w:rsid w:val="001963A0"/>
    <w:rsid w:val="001D7A1F"/>
    <w:rsid w:val="0020442F"/>
    <w:rsid w:val="0023206C"/>
    <w:rsid w:val="00236932"/>
    <w:rsid w:val="002C75FE"/>
    <w:rsid w:val="002E3F9F"/>
    <w:rsid w:val="00310414"/>
    <w:rsid w:val="00335E82"/>
    <w:rsid w:val="00387EDA"/>
    <w:rsid w:val="003A0278"/>
    <w:rsid w:val="003F1F83"/>
    <w:rsid w:val="003F6461"/>
    <w:rsid w:val="00432AAF"/>
    <w:rsid w:val="004941AB"/>
    <w:rsid w:val="004C5CC9"/>
    <w:rsid w:val="00521A9E"/>
    <w:rsid w:val="00550FF1"/>
    <w:rsid w:val="005536E2"/>
    <w:rsid w:val="005738D2"/>
    <w:rsid w:val="005B4CCB"/>
    <w:rsid w:val="005E1DF6"/>
    <w:rsid w:val="00613890"/>
    <w:rsid w:val="00626372"/>
    <w:rsid w:val="006330C9"/>
    <w:rsid w:val="006F2F35"/>
    <w:rsid w:val="00780284"/>
    <w:rsid w:val="007B5E96"/>
    <w:rsid w:val="007D2889"/>
    <w:rsid w:val="007D4018"/>
    <w:rsid w:val="007F44E4"/>
    <w:rsid w:val="00836BF6"/>
    <w:rsid w:val="00844378"/>
    <w:rsid w:val="008768B9"/>
    <w:rsid w:val="008814AB"/>
    <w:rsid w:val="008E6CAF"/>
    <w:rsid w:val="00945F40"/>
    <w:rsid w:val="00971F99"/>
    <w:rsid w:val="00984D7F"/>
    <w:rsid w:val="009D0058"/>
    <w:rsid w:val="00A362F2"/>
    <w:rsid w:val="00B5784A"/>
    <w:rsid w:val="00C424AA"/>
    <w:rsid w:val="00C65BBD"/>
    <w:rsid w:val="00CC6FB6"/>
    <w:rsid w:val="00CF2BF9"/>
    <w:rsid w:val="00D161A3"/>
    <w:rsid w:val="00DE03FA"/>
    <w:rsid w:val="00E50525"/>
    <w:rsid w:val="00E54E89"/>
    <w:rsid w:val="00F6648A"/>
    <w:rsid w:val="00F87FC3"/>
    <w:rsid w:val="00FF3537"/>
    <w:rsid w:val="00FF4D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A2771"/>
  <w15:docId w15:val="{44B47F7B-4153-40A1-88CA-29D81D7D3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63A0"/>
    <w:pPr>
      <w:ind w:left="720"/>
      <w:contextualSpacing/>
    </w:pPr>
  </w:style>
  <w:style w:type="character" w:customStyle="1" w:styleId="clauseprfx">
    <w:name w:val="clauseprfx"/>
    <w:basedOn w:val="a0"/>
    <w:rsid w:val="005738D2"/>
  </w:style>
  <w:style w:type="character" w:customStyle="1" w:styleId="clausesuff">
    <w:name w:val="clausesuff"/>
    <w:basedOn w:val="a0"/>
    <w:rsid w:val="005738D2"/>
  </w:style>
  <w:style w:type="character" w:styleId="a4">
    <w:name w:val="Hyperlink"/>
    <w:basedOn w:val="a0"/>
    <w:uiPriority w:val="99"/>
    <w:semiHidden/>
    <w:unhideWhenUsed/>
    <w:rsid w:val="005738D2"/>
    <w:rPr>
      <w:color w:val="0000FF"/>
      <w:u w:val="single"/>
    </w:rPr>
  </w:style>
  <w:style w:type="table" w:styleId="a5">
    <w:name w:val="Table Grid"/>
    <w:basedOn w:val="a1"/>
    <w:uiPriority w:val="59"/>
    <w:rsid w:val="003A0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480817">
      <w:bodyDiv w:val="1"/>
      <w:marLeft w:val="0"/>
      <w:marRight w:val="0"/>
      <w:marTop w:val="0"/>
      <w:marBottom w:val="0"/>
      <w:divBdr>
        <w:top w:val="none" w:sz="0" w:space="0" w:color="auto"/>
        <w:left w:val="none" w:sz="0" w:space="0" w:color="auto"/>
        <w:bottom w:val="none" w:sz="0" w:space="0" w:color="auto"/>
        <w:right w:val="none" w:sz="0" w:space="0" w:color="auto"/>
      </w:divBdr>
      <w:divsChild>
        <w:div w:id="1147891566">
          <w:marLeft w:val="0"/>
          <w:marRight w:val="0"/>
          <w:marTop w:val="120"/>
          <w:marBottom w:val="120"/>
          <w:divBdr>
            <w:top w:val="none" w:sz="0" w:space="0" w:color="auto"/>
            <w:left w:val="none" w:sz="0" w:space="0" w:color="auto"/>
            <w:bottom w:val="none" w:sz="0" w:space="0" w:color="auto"/>
            <w:right w:val="none" w:sz="0" w:space="0" w:color="auto"/>
          </w:divBdr>
        </w:div>
        <w:div w:id="1865897421">
          <w:marLeft w:val="0"/>
          <w:marRight w:val="0"/>
          <w:marTop w:val="0"/>
          <w:marBottom w:val="150"/>
          <w:divBdr>
            <w:top w:val="none" w:sz="0" w:space="0" w:color="auto"/>
            <w:left w:val="none" w:sz="0" w:space="0" w:color="auto"/>
            <w:bottom w:val="none" w:sz="0" w:space="0" w:color="auto"/>
            <w:right w:val="none" w:sz="0" w:space="0" w:color="auto"/>
          </w:divBdr>
        </w:div>
      </w:divsChild>
    </w:div>
    <w:div w:id="1707019363">
      <w:bodyDiv w:val="1"/>
      <w:marLeft w:val="0"/>
      <w:marRight w:val="0"/>
      <w:marTop w:val="0"/>
      <w:marBottom w:val="0"/>
      <w:divBdr>
        <w:top w:val="none" w:sz="0" w:space="0" w:color="auto"/>
        <w:left w:val="none" w:sz="0" w:space="0" w:color="auto"/>
        <w:bottom w:val="none" w:sz="0" w:space="0" w:color="auto"/>
        <w:right w:val="none" w:sz="0" w:space="0" w:color="auto"/>
      </w:divBdr>
      <w:divsChild>
        <w:div w:id="1850101822">
          <w:marLeft w:val="0"/>
          <w:marRight w:val="0"/>
          <w:marTop w:val="120"/>
          <w:marBottom w:val="120"/>
          <w:divBdr>
            <w:top w:val="none" w:sz="0" w:space="0" w:color="auto"/>
            <w:left w:val="none" w:sz="0" w:space="0" w:color="auto"/>
            <w:bottom w:val="none" w:sz="0" w:space="0" w:color="auto"/>
            <w:right w:val="none" w:sz="0" w:space="0" w:color="auto"/>
          </w:divBdr>
        </w:div>
        <w:div w:id="2052146674">
          <w:marLeft w:val="0"/>
          <w:marRight w:val="0"/>
          <w:marTop w:val="60"/>
          <w:marBottom w:val="60"/>
          <w:divBdr>
            <w:top w:val="none" w:sz="0" w:space="0" w:color="auto"/>
            <w:left w:val="none" w:sz="0" w:space="0" w:color="auto"/>
            <w:bottom w:val="none" w:sz="0" w:space="0" w:color="auto"/>
            <w:right w:val="none" w:sz="0" w:space="0" w:color="auto"/>
          </w:divBdr>
        </w:div>
        <w:div w:id="1781217260">
          <w:marLeft w:val="0"/>
          <w:marRight w:val="0"/>
          <w:marTop w:val="0"/>
          <w:marBottom w:val="150"/>
          <w:divBdr>
            <w:top w:val="none" w:sz="0" w:space="0" w:color="auto"/>
            <w:left w:val="none" w:sz="0" w:space="0" w:color="auto"/>
            <w:bottom w:val="none" w:sz="0" w:space="0" w:color="auto"/>
            <w:right w:val="none" w:sz="0" w:space="0" w:color="auto"/>
          </w:divBdr>
        </w:div>
      </w:divsChild>
    </w:div>
    <w:div w:id="1879201745">
      <w:bodyDiv w:val="1"/>
      <w:marLeft w:val="0"/>
      <w:marRight w:val="0"/>
      <w:marTop w:val="0"/>
      <w:marBottom w:val="0"/>
      <w:divBdr>
        <w:top w:val="none" w:sz="0" w:space="0" w:color="auto"/>
        <w:left w:val="none" w:sz="0" w:space="0" w:color="auto"/>
        <w:bottom w:val="none" w:sz="0" w:space="0" w:color="auto"/>
        <w:right w:val="none" w:sz="0" w:space="0" w:color="auto"/>
      </w:divBdr>
      <w:divsChild>
        <w:div w:id="697661621">
          <w:marLeft w:val="0"/>
          <w:marRight w:val="0"/>
          <w:marTop w:val="120"/>
          <w:marBottom w:val="120"/>
          <w:divBdr>
            <w:top w:val="none" w:sz="0" w:space="0" w:color="auto"/>
            <w:left w:val="none" w:sz="0" w:space="0" w:color="auto"/>
            <w:bottom w:val="none" w:sz="0" w:space="0" w:color="auto"/>
            <w:right w:val="none" w:sz="0" w:space="0" w:color="auto"/>
          </w:divBdr>
        </w:div>
        <w:div w:id="1809397415">
          <w:marLeft w:val="0"/>
          <w:marRight w:val="0"/>
          <w:marTop w:val="0"/>
          <w:marBottom w:val="150"/>
          <w:divBdr>
            <w:top w:val="none" w:sz="0" w:space="0" w:color="auto"/>
            <w:left w:val="none" w:sz="0" w:space="0" w:color="auto"/>
            <w:bottom w:val="none" w:sz="0" w:space="0" w:color="auto"/>
            <w:right w:val="none" w:sz="0" w:space="0" w:color="auto"/>
          </w:divBdr>
        </w:div>
        <w:div w:id="1148012000">
          <w:marLeft w:val="0"/>
          <w:marRight w:val="0"/>
          <w:marTop w:val="0"/>
          <w:marBottom w:val="150"/>
          <w:divBdr>
            <w:top w:val="none" w:sz="0" w:space="0" w:color="auto"/>
            <w:left w:val="none" w:sz="0" w:space="0" w:color="auto"/>
            <w:bottom w:val="none" w:sz="0" w:space="0" w:color="auto"/>
            <w:right w:val="none" w:sz="0" w:space="0" w:color="auto"/>
          </w:divBdr>
        </w:div>
        <w:div w:id="1219441385">
          <w:marLeft w:val="0"/>
          <w:marRight w:val="0"/>
          <w:marTop w:val="0"/>
          <w:marBottom w:val="150"/>
          <w:divBdr>
            <w:top w:val="none" w:sz="0" w:space="0" w:color="auto"/>
            <w:left w:val="none" w:sz="0" w:space="0" w:color="auto"/>
            <w:bottom w:val="none" w:sz="0" w:space="0" w:color="auto"/>
            <w:right w:val="none" w:sz="0" w:space="0" w:color="auto"/>
          </w:divBdr>
        </w:div>
        <w:div w:id="544099039">
          <w:marLeft w:val="0"/>
          <w:marRight w:val="0"/>
          <w:marTop w:val="0"/>
          <w:marBottom w:val="150"/>
          <w:divBdr>
            <w:top w:val="none" w:sz="0" w:space="0" w:color="auto"/>
            <w:left w:val="none" w:sz="0" w:space="0" w:color="auto"/>
            <w:bottom w:val="none" w:sz="0" w:space="0" w:color="auto"/>
            <w:right w:val="none" w:sz="0" w:space="0" w:color="auto"/>
          </w:divBdr>
        </w:div>
        <w:div w:id="200908925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dc:creator>
  <cp:lastModifiedBy>Shakarboy G'oyibnazarov</cp:lastModifiedBy>
  <cp:revision>2</cp:revision>
  <dcterms:created xsi:type="dcterms:W3CDTF">2024-02-29T10:33:00Z</dcterms:created>
  <dcterms:modified xsi:type="dcterms:W3CDTF">2024-02-29T10:33:00Z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Аризанинг реквизитлари</w:name>
    <w:value w:hidden="true">
      <w:unit w:active="false"/>
    </w:value>
  </w:element>
  <w:element w:id="2" w:kind="variable" w:selector="check" w:type="string" w:valueMode="normal" w:required="false" w:groupID="1">
    <w:identifier xml:space="preserve">ID2</w:identifier>
    <w:name xml:space="preserve">Iqtisodiy ishlar bo‘yicha shahar yoki tumanlararo sudining nomi</w:name>
    <w:value w:hidden="false">
      <w:unit w:active="false"/>
    </w:value>
  </w:element>
  <w:element w:id="3" w:kind="variable" w:selector="check" w:type="string" w:valueMode="normal" w:required="false" w:groupID="1">
    <w:identifier xml:space="preserve">ID3</w:identifier>
    <w:name xml:space="preserve">Arizachi yuridik shaxsning nomi va tashkiliy huquqiy shakli </w:name>
    <w:value w:hidden="false">
      <w:unit w:active="false"/>
    </w:value>
  </w:element>
  <w:element w:id="4" w:kind="variable" w:selector="check" w:type="string" w:valueMode="normal" w:required="false" w:groupID="1">
    <w:identifier xml:space="preserve">ID4</w:identifier>
    <w:name xml:space="preserve">Ariza imzolangan sana</w:name>
    <w:value w:hidden="false">
      <w:unit w:active="false"/>
    </w:value>
  </w:element>
  <w:element w:id="5" w:kind="variable" w:selector="check" w:type="string" w:valueMode="normal" w:required="false" w:groupID="1">
    <w:identifier xml:space="preserve">ID5</w:identifier>
    <w:name xml:space="preserve">Fuqarolik ishini ko‘rib chiqqan sudning nomi</w:name>
    <w:value w:hidden="false">
      <w:unit w:active="false"/>
    </w:value>
  </w:element>
  <w:element w:id="6" w:kind="variable" w:selector="check" w:type="string" w:valueMode="normal" w:required="false" w:groupID="1">
    <w:identifier xml:space="preserve">ID6</w:identifier>
    <w:name xml:space="preserve">Hal qiluv qarori qabul qilingan sana</w:name>
    <w:value w:hidden="false">
      <w:unit w:active="false"/>
    </w:value>
  </w:element>
  <w:element w:id="7" w:kind="variable" w:selector="check" w:type="string" w:valueMode="normal" w:required="false" w:groupID="1">
    <w:identifier xml:space="preserve">ID7</w:identifier>
    <w:name xml:space="preserve">yangi ochilgan holatlar bo‘yicha qayta ko‘rishni talab qilayotgan sud hujjatini qabul qilgan sud ishining raqami</w:name>
    <w:value w:hidden="false">
      <w:unit w:active="false"/>
    </w:value>
  </w:element>
  <w:element w:id="8" w:kind="variable" w:selector="check" w:type="string" w:valueMode="normal" w:required="false" w:groupID="1">
    <w:identifier xml:space="preserve">ID8</w:identifier>
    <w:name xml:space="preserve">Javobgarning familiyasi, ismi va otasining ismi (nomi), yashash joyi (joylashgan yeri) va pochta manzili</w:name>
    <w:value w:hidden="false">
      <w:unit w:active="false"/>
    </w:value>
  </w:element>
  <w:element w:id="9" w:kind="variable" w:selector="check" w:type="string" w:valueMode="normal" w:required="false" w:groupID="1">
    <w:identifier xml:space="preserve">ID9</w:identifier>
    <w:name xml:space="preserve">Da’voning mazmuni</w:name>
    <w:value w:hidden="false">
      <w:unit w:active="false"/>
    </w:value>
  </w:element>
  <w:element w:id="10" w:kind="variable" w:selector="check" w:type="string" w:valueMode="normal" w:required="false" w:groupID="1">
    <w:identifier xml:space="preserve">ID10</w:identifier>
    <w:name xml:space="preserve">Hal qiluv qarorini yangi ochilgan holat bo‘yicha qayta ko‘rib chiqishga sabab bo‘lgan holatlar</w:name>
    <w:value w:hidden="false">
      <w:unit w:active="false"/>
    </w:value>
  </w:element>
  <w:element w:id="12" w:kind="variable" w:selector="check" w:type="string" w:valueMode="normal" w:required="false" w:groupID="1">
    <w:identifier xml:space="preserve">ID12</w:identifier>
    <w:name xml:space="preserve">Arizachi yuridik shaxs rahbarining F.I.Sh.i</w:name>
    <w:value w:hidden="false">
      <w:unit w:active="false"/>
    </w:value>
  </w:element>
</w:structure>
</file>