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2975"/>
        <w:gridCol w:w="2624"/>
        <w:gridCol w:w="3472"/>
      </w:tblGrid>
      <w:tr>
        <w:tc>
          <w:tcPr>
            <w:tcW w:w="3095" w:type="dxa"/>
            <w:shd w:fill="auto"/>
          </w:tcPr>
          <w:p>
            <w:pPr>
              <w:jc w:val="both"/>
              <w:spacing w:line="276" w:lineRule="auto"/>
              <w:tabs>
                <w:tab w:val="left" w:pos="0"/>
                <w:tab w:val="left" w:pos="6379"/>
              </w:tabs>
              <w:rPr>
                <w:b/>
              </w:rPr>
            </w:pPr>
            <w:r>
              <w:rPr>
                <w:b/>
              </w:rPr>
            </w:r>
          </w:p>
        </w:tc>
        <w:tc>
          <w:tcPr>
            <w:tcW w:w="2683" w:type="dxa"/>
            <w:shd w:fill="auto"/>
          </w:tcPr>
          <w:p>
            <w:pPr>
              <w:jc w:val="both"/>
              <w:spacing w:line="276" w:lineRule="auto"/>
            </w:pPr>
          </w:p>
        </w:tc>
        <w:tc>
          <w:tcPr>
            <w:tcW w:w="3509" w:type="dxa"/>
            <w:shd w:fill="auto"/>
          </w:tcPr>
          <w:p>
            <w:pPr>
              <w:jc w:val="both"/>
              <w:spacing w:line="276" w:lineRule="auto"/>
            </w:pPr>
            <w:r>
              <w:rPr>
                <w:vanish w:val="false"/>
              </w:rPr>
              <w:fldChar w:fldCharType="begin"/>
              <w:instrText xml:space="preserve">X {"Y":2}</w:instrText>
              <w:fldChar w:fldCharType="separate"/>
            </w:r>
            <w:r>
              <w:rPr>
                <w:vanish w:val="false"/>
              </w:rPr>
              <w:t xml:space="preserve">Daʼvo ariza berilgan sud nomi (roʻyxat)</w:t>
              <w:fldChar w:fldCharType="end"/>
            </w:r>
            <w:r>
              <w:rPr>
                <w:b/>
              </w:rPr>
              <w:t>ga</w:t>
            </w:r>
          </w:p>
        </w:tc>
      </w:tr>
      <w:tr>
        <w:tc>
          <w:tcPr>
            <w:tcW w:w="3095" w:type="dxa"/>
            <w:shd w:fill="auto"/>
          </w:tcPr>
          <w:p>
            <w:pPr>
              <w:jc w:val="both"/>
              <w:spacing w:line="276" w:lineRule="auto"/>
            </w:pPr>
          </w:p>
        </w:tc>
        <w:tc>
          <w:tcPr>
            <w:tcW w:w="2683" w:type="dxa"/>
            <w:shd w:fill="auto"/>
          </w:tcPr>
          <w:p>
            <w:pPr>
              <w:jc w:val="right"/>
              <w:spacing w:line="276" w:lineRule="auto"/>
              <w:rPr>
                <w:b/>
              </w:rPr>
            </w:pPr>
            <w:r>
              <w:rPr>
                <w:b/>
              </w:rPr>
              <w:t>Daʼvogar:</w:t>
            </w:r>
          </w:p>
        </w:tc>
        <w:tc>
          <w:tcPr>
            <w:tcW w:w="3509" w:type="dxa"/>
            <w:shd w:fill="auto"/>
          </w:tcPr>
          <w:p>
            <w:pPr>
              <w:jc w:val="both"/>
              <w:spacing w:line="276" w:lineRule="auto"/>
            </w:pPr>
            <w:r>
              <w:rPr>
                <w:vanish w:val="false"/>
              </w:rPr>
              <w:fldChar w:fldCharType="begin"/>
              <w:instrText xml:space="preserve">X {"Y":5}</w:instrText>
              <w:fldChar w:fldCharType="separate"/>
            </w:r>
            <w:r>
              <w:rPr>
                <w:vanish w:val="false"/>
              </w:rPr>
              <w:t xml:space="preserve">Daʼvogarniing F.I.Sh (qoʻlda toʻldiriladi)</w:t>
              <w:fldChar w:fldCharType="end"/>
            </w:r>
          </w:p>
        </w:tc>
      </w:tr>
      <w:tr>
        <w:tc>
          <w:tcPr>
            <w:tcW w:w="3095" w:type="dxa"/>
            <w:shd w:fill="auto"/>
          </w:tcPr>
          <w:p>
            <w:pPr>
              <w:jc w:val="both"/>
              <w:spacing w:line="276" w:lineRule="auto"/>
            </w:pPr>
          </w:p>
        </w:tc>
        <w:tc>
          <w:tcPr>
            <w:tcW w:w="2683" w:type="dxa"/>
            <w:shd w:fill="auto"/>
          </w:tcPr>
          <w:p>
            <w:pPr>
              <w:jc w:val="right"/>
              <w:spacing w:line="276" w:lineRule="auto"/>
              <w:rPr>
                <w:b/>
              </w:rPr>
            </w:pPr>
          </w:p>
        </w:tc>
        <w:tc>
          <w:tcPr>
            <w:tcW w:w="3509" w:type="dxa"/>
            <w:shd w:fill="auto"/>
          </w:tcPr>
          <w:p>
            <w:pPr>
              <w:jc w:val="both"/>
              <w:spacing w:line="276" w:lineRule="auto"/>
            </w:pPr>
            <w:r>
              <w:rPr>
                <w:vanish w:val="false"/>
              </w:rPr>
              <w:fldChar w:fldCharType="begin"/>
              <w:instrText xml:space="preserve">X {"Y":6}</w:instrText>
              <w:fldChar w:fldCharType="separate"/>
            </w:r>
            <w:r>
              <w:rPr>
                <w:vanish w:val="false"/>
              </w:rPr>
              <w:t xml:space="preserve">Daʼvogarniing yashash manzili (qoʻlda toʻldiriladi)</w:t>
              <w:fldChar w:fldCharType="end"/>
            </w:r>
          </w:p>
        </w:tc>
      </w:tr>
      <w:tr>
        <w:tc>
          <w:tcPr>
            <w:tcW w:w="3095" w:type="dxa"/>
            <w:shd w:fill="auto"/>
          </w:tcPr>
          <w:p>
            <w:pPr>
              <w:jc w:val="both"/>
              <w:spacing w:line="276" w:lineRule="auto"/>
            </w:pPr>
          </w:p>
        </w:tc>
        <w:tc>
          <w:tcPr>
            <w:tcW w:w="2683" w:type="dxa"/>
            <w:shd w:fill="auto"/>
          </w:tcPr>
          <w:p>
            <w:pPr>
              <w:jc w:val="right"/>
              <w:spacing w:line="276" w:lineRule="auto"/>
              <w:rPr>
                <w:b/>
              </w:rPr>
            </w:pPr>
          </w:p>
        </w:tc>
        <w:tc>
          <w:tcPr>
            <w:tcW w:w="3509" w:type="dxa"/>
            <w:shd w:fill="auto"/>
          </w:tcPr>
          <w:p>
            <w:pPr>
              <w:jc w:val="both"/>
              <w:spacing w:line="276" w:lineRule="auto"/>
            </w:pPr>
            <w:r>
              <w:rPr>
                <w:vanish w:val="false"/>
              </w:rPr>
              <w:fldChar w:fldCharType="begin"/>
              <w:instrText xml:space="preserve">X {"Y":7}</w:instrText>
              <w:fldChar w:fldCharType="separate"/>
            </w:r>
            <w:r>
              <w:rPr>
                <w:vanish w:val="false"/>
              </w:rPr>
              <w:t xml:space="preserve">Daʼvogarniing telefon raqami (qoʻlda toʻldiriladi)</w:t>
              <w:fldChar w:fldCharType="end"/>
            </w:r>
          </w:p>
        </w:tc>
      </w:tr>
      <w:tr>
        <w:tc>
          <w:tcPr>
            <w:tcW w:w="3095" w:type="dxa"/>
            <w:shd w:fill="auto"/>
          </w:tcPr>
          <w:p>
            <w:pPr>
              <w:jc w:val="both"/>
              <w:spacing w:line="276" w:lineRule="auto"/>
            </w:pPr>
          </w:p>
        </w:tc>
        <w:tc>
          <w:tcPr>
            <w:tcW w:w="2683" w:type="dxa"/>
            <w:shd w:fill="auto"/>
          </w:tcPr>
          <w:p>
            <w:pPr>
              <w:jc w:val="right"/>
              <w:spacing w:line="276" w:lineRule="auto"/>
              <w:rPr>
                <w:b/>
              </w:rPr>
            </w:pPr>
          </w:p>
        </w:tc>
        <w:tc>
          <w:tcPr>
            <w:tcW w:w="3509" w:type="dxa"/>
            <w:shd w:fill="auto"/>
          </w:tcPr>
          <w:p>
            <w:pPr>
              <w:jc w:val="both"/>
              <w:spacing w:line="276" w:lineRule="auto"/>
            </w:pPr>
            <w:r>
              <w:rPr>
                <w:vanish w:val="false"/>
              </w:rPr>
              <w:fldChar w:fldCharType="begin"/>
              <w:instrText xml:space="preserve">X {"Y":8}</w:instrText>
              <w:fldChar w:fldCharType="separate"/>
            </w:r>
            <w:r>
              <w:rPr>
                <w:vanish w:val="false"/>
              </w:rPr>
              <w:t xml:space="preserve">Daʼvogarniing elektron manzili (qoʻlda toʻldiriladi)</w:t>
              <w:fldChar w:fldCharType="end"/>
            </w:r>
          </w:p>
        </w:tc>
      </w:tr>
      <w:tr>
        <w:tc>
          <w:tcPr>
            <w:tcW w:w="3095" w:type="dxa"/>
            <w:shd w:fill="auto"/>
          </w:tcPr>
          <w:p>
            <w:pPr>
              <w:jc w:val="both"/>
              <w:spacing w:line="276" w:lineRule="auto"/>
            </w:pPr>
          </w:p>
        </w:tc>
        <w:tc>
          <w:tcPr>
            <w:tcW w:w="2683" w:type="dxa"/>
            <w:shd w:fill="auto"/>
          </w:tcPr>
          <w:p>
            <w:pPr>
              <w:jc w:val="right"/>
              <w:spacing w:line="276" w:lineRule="auto"/>
              <w:rPr>
                <w:b/>
              </w:rPr>
            </w:pPr>
          </w:p>
        </w:tc>
        <w:tc>
          <w:tcPr>
            <w:tcW w:w="3509" w:type="dxa"/>
            <w:shd w:fill="auto"/>
          </w:tcPr>
          <w:p>
            <w:pPr>
              <w:jc w:val="both"/>
              <w:spacing w:line="276" w:lineRule="auto"/>
            </w:pPr>
          </w:p>
        </w:tc>
      </w:tr>
      <w:tr>
        <w:tc>
          <w:tcPr>
            <w:tcW w:w="3095" w:type="dxa"/>
            <w:shd w:fill="auto"/>
          </w:tcPr>
          <w:p>
            <w:pPr>
              <w:jc w:val="both"/>
              <w:spacing w:line="276" w:lineRule="auto"/>
            </w:pPr>
          </w:p>
        </w:tc>
        <w:tc>
          <w:tcPr>
            <w:tcW w:w="2683" w:type="dxa"/>
            <w:shd w:fill="auto"/>
          </w:tcPr>
          <w:p>
            <w:pPr>
              <w:jc w:val="right"/>
              <w:spacing w:line="276" w:lineRule="auto"/>
              <w:rPr>
                <w:b/>
              </w:rPr>
            </w:pPr>
            <w:r>
              <w:rPr>
                <w:b/>
              </w:rPr>
              <w:t>Javobgar:</w:t>
            </w:r>
          </w:p>
        </w:tc>
        <w:tc>
          <w:tcPr>
            <w:tcW w:w="3509" w:type="dxa"/>
            <w:shd w:fill="auto"/>
          </w:tcPr>
          <w:p>
            <w:pPr>
              <w:jc w:val="both"/>
              <w:spacing w:line="276" w:lineRule="auto"/>
            </w:pPr>
            <w:r>
              <w:rPr>
                <w:vanish w:val="false"/>
              </w:rPr>
              <w:fldChar w:fldCharType="begin"/>
              <w:instrText xml:space="preserve">X {"Y":10}</w:instrText>
              <w:fldChar w:fldCharType="separate"/>
            </w:r>
            <w:r>
              <w:rPr>
                <w:vanish w:val="false"/>
              </w:rPr>
              <w:t xml:space="preserve">Javobgar yuridik shaxsning toʻliq nomi (qoʻlda toʻldiriladi)</w:t>
              <w:fldChar w:fldCharType="end"/>
            </w:r>
          </w:p>
        </w:tc>
      </w:tr>
      <w:tr>
        <w:tc>
          <w:tcPr>
            <w:tcW w:w="3095" w:type="dxa"/>
            <w:shd w:fill="auto"/>
          </w:tcPr>
          <w:p>
            <w:pPr>
              <w:jc w:val="both"/>
              <w:spacing w:line="276" w:lineRule="auto"/>
            </w:pPr>
          </w:p>
        </w:tc>
        <w:tc>
          <w:tcPr>
            <w:tcW w:w="2683" w:type="dxa"/>
            <w:shd w:fill="auto"/>
          </w:tcPr>
          <w:p>
            <w:pPr>
              <w:jc w:val="right"/>
              <w:spacing w:line="276" w:lineRule="auto"/>
              <w:rPr>
                <w:b/>
              </w:rPr>
            </w:pPr>
          </w:p>
        </w:tc>
        <w:tc>
          <w:tcPr>
            <w:tcW w:w="3509" w:type="dxa"/>
            <w:shd w:fill="auto"/>
          </w:tcPr>
          <w:p>
            <w:pPr>
              <w:jc w:val="both"/>
              <w:spacing w:line="276" w:lineRule="auto"/>
            </w:pPr>
            <w:r>
              <w:rPr>
                <w:vanish w:val="false"/>
              </w:rPr>
              <w:fldChar w:fldCharType="begin"/>
              <w:instrText xml:space="preserve">X {"Y":11}</w:instrText>
              <w:fldChar w:fldCharType="separate"/>
            </w:r>
            <w:r>
              <w:rPr>
                <w:vanish w:val="false"/>
              </w:rPr>
              <w:t xml:space="preserve">Javobgarning manzili (qoʻlda toʻldiriladi)</w:t>
              <w:fldChar w:fldCharType="end"/>
            </w:r>
          </w:p>
        </w:tc>
      </w:tr>
      <w:tr>
        <w:tc>
          <w:tcPr>
            <w:tcW w:w="3095" w:type="dxa"/>
            <w:shd w:fill="auto"/>
          </w:tcPr>
          <w:p>
            <w:pPr>
              <w:jc w:val="both"/>
              <w:spacing w:line="276" w:lineRule="auto"/>
            </w:pPr>
          </w:p>
        </w:tc>
        <w:tc>
          <w:tcPr>
            <w:tcW w:w="2683" w:type="dxa"/>
            <w:shd w:fill="auto"/>
          </w:tcPr>
          <w:p>
            <w:pPr>
              <w:jc w:val="right"/>
              <w:spacing w:line="276" w:lineRule="auto"/>
              <w:rPr>
                <w:b/>
              </w:rPr>
            </w:pPr>
          </w:p>
        </w:tc>
        <w:tc>
          <w:tcPr>
            <w:tcW w:w="3509" w:type="dxa"/>
            <w:shd w:fill="auto"/>
          </w:tcPr>
          <w:p>
            <w:pPr>
              <w:jc w:val="both"/>
              <w:spacing w:line="276" w:lineRule="auto"/>
            </w:pPr>
            <w:r>
              <w:rPr>
                <w:vanish w:val="false"/>
              </w:rPr>
              <w:fldChar w:fldCharType="begin"/>
              <w:instrText xml:space="preserve">X {"Y":12}</w:instrText>
              <w:fldChar w:fldCharType="separate"/>
            </w:r>
            <w:r>
              <w:rPr>
                <w:vanish w:val="false"/>
              </w:rPr>
              <w:t xml:space="preserve">Javobgarning hisob raqami (qoʻlda toʻldiriladi)</w:t>
              <w:fldChar w:fldCharType="end"/>
            </w:r>
          </w:p>
        </w:tc>
      </w:tr>
      <w:tr>
        <w:tc>
          <w:tcPr>
            <w:tcW w:w="3095" w:type="dxa"/>
            <w:shd w:fill="auto"/>
          </w:tcPr>
          <w:p>
            <w:pPr>
              <w:jc w:val="both"/>
              <w:spacing w:line="276" w:lineRule="auto"/>
            </w:pPr>
          </w:p>
        </w:tc>
        <w:tc>
          <w:tcPr>
            <w:tcW w:w="2683" w:type="dxa"/>
            <w:shd w:fill="auto"/>
          </w:tcPr>
          <w:p>
            <w:pPr>
              <w:jc w:val="right"/>
              <w:spacing w:line="276" w:lineRule="auto"/>
              <w:rPr>
                <w:b/>
              </w:rPr>
            </w:pPr>
          </w:p>
        </w:tc>
        <w:tc>
          <w:tcPr>
            <w:tcW w:w="3509" w:type="dxa"/>
            <w:shd w:fill="auto"/>
          </w:tcPr>
          <w:p>
            <w:pPr>
              <w:jc w:val="both"/>
              <w:spacing w:line="276" w:lineRule="auto"/>
            </w:pPr>
            <w:r>
              <w:rPr>
                <w:vanish w:val="false"/>
              </w:rPr>
              <w:fldChar w:fldCharType="begin"/>
              <w:instrText xml:space="preserve">X {"Y":13}</w:instrText>
              <w:fldChar w:fldCharType="separate"/>
            </w:r>
            <w:r>
              <w:rPr>
                <w:vanish w:val="false"/>
              </w:rPr>
              <w:t xml:space="preserve">Javobgarning STIR raqami (qoʻlda toʻldiriladi)</w:t>
              <w:fldChar w:fldCharType="end"/>
            </w:r>
          </w:p>
        </w:tc>
      </w:tr>
      <w:tr>
        <w:tc>
          <w:tcPr>
            <w:tcW w:w="3095" w:type="dxa"/>
            <w:shd w:fill="auto"/>
          </w:tcPr>
          <w:p>
            <w:pPr>
              <w:jc w:val="both"/>
              <w:spacing w:line="276" w:lineRule="auto"/>
            </w:pPr>
          </w:p>
        </w:tc>
        <w:tc>
          <w:tcPr>
            <w:tcW w:w="2683" w:type="dxa"/>
            <w:shd w:fill="auto"/>
          </w:tcPr>
          <w:p>
            <w:pPr>
              <w:jc w:val="right"/>
              <w:spacing w:line="276" w:lineRule="auto"/>
              <w:rPr>
                <w:b/>
              </w:rPr>
            </w:pPr>
          </w:p>
        </w:tc>
        <w:tc>
          <w:tcPr>
            <w:tcW w:w="3509" w:type="dxa"/>
            <w:shd w:fill="auto"/>
          </w:tcPr>
          <w:p>
            <w:pPr>
              <w:jc w:val="both"/>
              <w:spacing w:line="276" w:lineRule="auto"/>
            </w:pPr>
            <w:r>
              <w:rPr>
                <w:vanish w:val="false"/>
              </w:rPr>
              <w:fldChar w:fldCharType="begin"/>
              <w:instrText xml:space="preserve">X {"Y":14}</w:instrText>
              <w:fldChar w:fldCharType="separate"/>
            </w:r>
            <w:r>
              <w:rPr>
                <w:vanish w:val="false"/>
              </w:rPr>
              <w:t xml:space="preserve">Javobgarning MFO raqami (qoʻlda toʻldiriladi)</w:t>
              <w:fldChar w:fldCharType="end"/>
            </w:r>
          </w:p>
        </w:tc>
      </w:tr>
      <w:tr>
        <w:tc>
          <w:tcPr>
            <w:tcW w:w="3095" w:type="dxa"/>
            <w:shd w:fill="auto"/>
          </w:tcPr>
          <w:p>
            <w:pPr>
              <w:jc w:val="both"/>
              <w:spacing w:line="276" w:lineRule="auto"/>
            </w:pPr>
          </w:p>
        </w:tc>
        <w:tc>
          <w:tcPr>
            <w:tcW w:w="2683" w:type="dxa"/>
            <w:shd w:fill="auto"/>
          </w:tcPr>
          <w:p>
            <w:pPr>
              <w:jc w:val="right"/>
              <w:spacing w:line="276" w:lineRule="auto"/>
              <w:rPr>
                <w:b/>
              </w:rPr>
            </w:pPr>
          </w:p>
        </w:tc>
        <w:tc>
          <w:tcPr>
            <w:tcW w:w="3509" w:type="dxa"/>
            <w:shd w:fill="auto"/>
          </w:tcPr>
          <w:p>
            <w:pPr>
              <w:jc w:val="both"/>
              <w:spacing w:line="276" w:lineRule="auto"/>
            </w:pPr>
            <w:r>
              <w:rPr>
                <w:vanish w:val="false"/>
              </w:rPr>
              <w:fldChar w:fldCharType="begin"/>
              <w:instrText xml:space="preserve">X {"Y":15}</w:instrText>
              <w:fldChar w:fldCharType="separate"/>
            </w:r>
            <w:r>
              <w:rPr>
                <w:vanish w:val="false"/>
              </w:rPr>
              <w:t xml:space="preserve">Javobgarning OKED raqami (qoʻlda toʻldiriladi)</w:t>
              <w:fldChar w:fldCharType="end"/>
            </w:r>
          </w:p>
        </w:tc>
      </w:tr>
      <w:tr>
        <w:tc>
          <w:tcPr>
            <w:tcW w:w="3095" w:type="dxa"/>
            <w:shd w:fill="auto"/>
          </w:tcPr>
          <w:p>
            <w:pPr>
              <w:jc w:val="both"/>
              <w:spacing w:line="276" w:lineRule="auto"/>
            </w:pPr>
          </w:p>
        </w:tc>
        <w:tc>
          <w:tcPr>
            <w:tcW w:w="2683" w:type="dxa"/>
            <w:shd w:fill="auto"/>
          </w:tcPr>
          <w:p>
            <w:pPr>
              <w:jc w:val="right"/>
              <w:spacing w:line="276" w:lineRule="auto"/>
              <w:rPr>
                <w:b/>
              </w:rPr>
            </w:pPr>
          </w:p>
        </w:tc>
        <w:tc>
          <w:tcPr>
            <w:tcW w:w="3509" w:type="dxa"/>
            <w:shd w:fill="auto"/>
          </w:tcPr>
          <w:p>
            <w:pPr>
              <w:jc w:val="both"/>
              <w:spacing w:line="276" w:lineRule="auto"/>
            </w:pPr>
            <w:r>
              <w:rPr>
                <w:vanish w:val="false"/>
              </w:rPr>
              <w:fldChar w:fldCharType="begin"/>
              <w:instrText xml:space="preserve">X {"Y":16}</w:instrText>
              <w:fldChar w:fldCharType="separate"/>
            </w:r>
            <w:r>
              <w:rPr>
                <w:vanish w:val="false"/>
              </w:rPr>
              <w:t xml:space="preserve">Javobgarning telefon raqami (qoʻlda toʻldiriladi)</w:t>
              <w:fldChar w:fldCharType="end"/>
            </w:r>
          </w:p>
        </w:tc>
      </w:tr>
      <w:tr>
        <w:tc>
          <w:tcPr>
            <w:tcW w:w="3095" w:type="dxa"/>
            <w:shd w:fill="auto"/>
          </w:tcPr>
          <w:p>
            <w:pPr>
              <w:jc w:val="both"/>
              <w:spacing w:line="276" w:lineRule="auto"/>
            </w:pPr>
          </w:p>
        </w:tc>
        <w:tc>
          <w:tcPr>
            <w:tcW w:w="2683" w:type="dxa"/>
            <w:shd w:fill="auto"/>
          </w:tcPr>
          <w:p>
            <w:pPr>
              <w:jc w:val="right"/>
              <w:spacing w:line="276" w:lineRule="auto"/>
              <w:rPr>
                <w:b/>
              </w:rPr>
            </w:pPr>
          </w:p>
        </w:tc>
        <w:tc>
          <w:tcPr>
            <w:tcW w:w="3509" w:type="dxa"/>
            <w:shd w:fill="auto"/>
          </w:tcPr>
          <w:p>
            <w:pPr>
              <w:jc w:val="both"/>
              <w:spacing w:line="276" w:lineRule="auto"/>
            </w:pPr>
            <w:r>
              <w:rPr>
                <w:vanish w:val="false"/>
              </w:rPr>
              <w:fldChar w:fldCharType="begin"/>
              <w:instrText xml:space="preserve">X {"Y":17}</w:instrText>
              <w:fldChar w:fldCharType="separate"/>
            </w:r>
            <w:r>
              <w:rPr>
                <w:vanish w:val="false"/>
              </w:rPr>
              <w:t xml:space="preserve">Elektron manzili (qoʻlda toʻldiriladi)</w:t>
              <w:fldChar w:fldCharType="end"/>
            </w:r>
          </w:p>
        </w:tc>
      </w:tr>
      <w:tr>
        <w:tc>
          <w:tcPr>
            <w:tcW w:w="3095" w:type="dxa"/>
            <w:shd w:fill="auto"/>
          </w:tcPr>
          <w:p>
            <w:pPr>
              <w:jc w:val="both"/>
              <w:spacing w:line="276" w:lineRule="auto"/>
            </w:pPr>
          </w:p>
        </w:tc>
        <w:tc>
          <w:tcPr>
            <w:tcW w:w="2683" w:type="dxa"/>
            <w:shd w:fill="auto"/>
          </w:tcPr>
          <w:p>
            <w:pPr>
              <w:jc w:val="right"/>
              <w:spacing w:line="276" w:lineRule="auto"/>
              <w:rPr>
                <w:b/>
              </w:rPr>
            </w:pPr>
          </w:p>
        </w:tc>
        <w:tc>
          <w:tcPr>
            <w:tcW w:w="3509" w:type="dxa"/>
            <w:shd w:fill="auto"/>
          </w:tcPr>
          <w:p>
            <w:pPr>
              <w:jc w:val="both"/>
              <w:spacing w:line="276" w:lineRule="auto"/>
            </w:pPr>
          </w:p>
        </w:tc>
      </w:tr>
      <w:tr>
        <w:tc>
          <w:tcPr>
            <w:tcW w:w="3095" w:type="dxa"/>
            <w:shd w:fill="auto"/>
          </w:tcPr>
          <w:p>
            <w:pPr>
              <w:jc w:val="both"/>
              <w:spacing w:line="276" w:lineRule="auto"/>
            </w:pPr>
          </w:p>
        </w:tc>
        <w:tc>
          <w:tcPr>
            <w:tcW w:w="2683" w:type="dxa"/>
            <w:shd w:fill="auto"/>
          </w:tcPr>
          <w:p>
            <w:pPr>
              <w:jc w:val="right"/>
              <w:spacing w:line="276" w:lineRule="auto"/>
              <w:rPr>
                <w:b/>
              </w:rPr>
            </w:pPr>
            <w:r>
              <w:rPr>
                <w:b/>
              </w:rPr>
              <w:t xml:space="preserve">Daʼvo mazmuni: </w:t>
            </w:r>
          </w:p>
        </w:tc>
        <w:tc>
          <w:tcPr>
            <w:tcW w:w="3509" w:type="dxa"/>
            <w:shd w:fill="auto"/>
          </w:tcPr>
          <w:p>
            <w:pPr>
              <w:pStyle w:val="ConsPlusNonformat"/>
              <w:jc w:val="both"/>
              <w:rPr>
                <w:sz w:val="24"/>
                <w:rFonts w:ascii="Times New Roman" w:hAnsi="Times New Roman"/>
              </w:rPr>
            </w:pP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Daʼvo mazmuni</w:t>
              <w:fldChar w:fldCharType="end"/>
            </w:r>
            <w:r>
              <w:rPr>
                <w:sz w:val="24"/>
                <w:rFonts w:ascii="Times New Roman" w:hAnsi="Times New Roman"/>
              </w:rPr>
              <w:t xml:space="preserve"> soʻm miqdorida toʻlanmagan ish haqini undirish toʻgʻrisida</w:t>
            </w:r>
          </w:p>
        </w:tc>
      </w:tr>
    </w:tbl>
    <w:p>
      <w:pPr>
        <w:jc w:val="both"/>
        <w:rPr>
          <w:sz w:val="16"/>
        </w:rPr>
      </w:pPr>
    </w:p>
    <w:p>
      <w:pPr>
        <w:jc w:val="both"/>
        <w:rPr>
          <w:sz w:val="16"/>
        </w:rPr>
      </w:pPr>
    </w:p>
    <w:p>
      <w:pPr>
        <w:jc w:val="center"/>
        <w:rPr>
          <w:b/>
        </w:rPr>
      </w:pPr>
    </w:p>
    <w:p>
      <w:pPr>
        <w:jc w:val="center"/>
        <w:rPr>
          <w:b/>
          <w:sz w:val="28"/>
        </w:rPr>
      </w:pPr>
      <w:r>
        <w:rPr>
          <w:b/>
          <w:sz w:val="28"/>
        </w:rPr>
        <w:t xml:space="preserve">Daʼvo arizasi</w:t>
      </w:r>
    </w:p>
    <w:p>
      <w:pPr>
        <w:jc w:val="center"/>
        <w:rPr>
          <w:b/>
          <w:sz w:val="28"/>
        </w:rPr>
      </w:pPr>
    </w:p>
    <w:p>
      <w:pPr>
        <w:jc w:val="both"/>
        <w:ind w:firstLine="567"/>
      </w:pPr>
      <w:r>
        <w:rPr>
          <w:vanish w:val="false"/>
        </w:rPr>
        <w:fldChar w:fldCharType="begin"/>
        <w:instrText xml:space="preserve">X {"Y":10}</w:instrText>
        <w:fldChar w:fldCharType="separate"/>
      </w:r>
      <w:r>
        <w:rPr>
          <w:vanish w:val="false"/>
        </w:rPr>
        <w:t xml:space="preserve">Javobgar yuridik shaxsning toʻliq nomi (qoʻlda toʻldiriladi)</w:t>
        <w:fldChar w:fldCharType="end"/>
      </w:r>
      <w:r>
        <w:t xml:space="preserve"> </w:t>
      </w:r>
      <w:r>
        <w:rPr>
          <w:vanish w:val="false"/>
        </w:rPr>
        <w:fldChar w:fldCharType="begin"/>
        <w:instrText xml:space="preserve">X {"Y":20}</w:instrText>
        <w:fldChar w:fldCharType="separate"/>
      </w:r>
      <w:r>
        <w:rPr>
          <w:vanish w:val="false"/>
        </w:rPr>
        <w:t xml:space="preserve">Yuridik shaxs rahbarining mansabi (qoʻlda toʻldiriladi)</w:t>
        <w:fldChar w:fldCharType="end"/>
      </w:r>
      <w:r>
        <w:t xml:space="preserve"> </w:t>
      </w:r>
      <w:r>
        <w:rPr>
          <w:vanish w:val="false"/>
        </w:rPr>
        <w:fldChar w:fldCharType="begin"/>
        <w:instrText xml:space="preserve">X {"Y":21}</w:instrText>
        <w:fldChar w:fldCharType="separate"/>
      </w:r>
      <w:r>
        <w:rPr>
          <w:vanish w:val="false"/>
        </w:rPr>
        <w:t xml:space="preserve">Yuridik shaxs rahbarining F.I.Sh (qoʻlda toʻldiriladi)</w:t>
        <w:fldChar w:fldCharType="end"/>
      </w:r>
      <w:r>
        <w:t xml:space="preserve"> </w:t>
      </w:r>
      <w:r>
        <w:rPr>
          <w:vanish w:val="false"/>
        </w:rPr>
        <w:fldChar w:fldCharType="begin"/>
        <w:instrText xml:space="preserve">X {"Y":22}</w:instrText>
        <w:fldChar w:fldCharType="separate"/>
      </w:r>
      <w:r>
        <w:rPr>
          <w:vanish w:val="false"/>
        </w:rPr>
        <w:t xml:space="preserve">Ishga qabul qilish sanasi (kalendar)</w:t>
        <w:fldChar w:fldCharType="end"/>
      </w:r>
      <w:r>
        <w:t xml:space="preserve"> </w:t>
      </w:r>
      <w:r>
        <w:rPr>
          <w:vanish w:val="false"/>
        </w:rPr>
        <w:fldChar w:fldCharType="begin"/>
        <w:instrText xml:space="preserve">X {"Y":23}</w:instrText>
        <w:fldChar w:fldCharType="separate"/>
      </w:r>
      <w:r>
        <w:rPr>
          <w:vanish w:val="false"/>
        </w:rPr>
        <w:t xml:space="preserve">Ishga qabul qilish buyruq raqami (qoʻlda toʻldiriladi)</w:t>
        <w:fldChar w:fldCharType="end"/>
      </w:r>
      <w:r>
        <w:t xml:space="preserve"> buyrugʻi asosida </w:t>
      </w:r>
      <w:r>
        <w:rPr>
          <w:vanish w:val="false"/>
        </w:rPr>
        <w:fldChar w:fldCharType="begin"/>
        <w:instrText xml:space="preserve">X {"Y":24}</w:instrText>
        <w:fldChar w:fldCharType="separate"/>
      </w:r>
      <w:r>
        <w:rPr>
          <w:vanish w:val="false"/>
        </w:rPr>
        <w:t xml:space="preserve">Daʼvogar ishlab kelgan lavozimi nomi (qoʻlda toʻldiriladi)</w:t>
        <w:fldChar w:fldCharType="end"/>
      </w:r>
      <w:r>
        <w:t xml:space="preserve">vazifasiga ishga kabul kilinganman.</w:t>
      </w:r>
    </w:p>
    <w:p>
      <w:pPr>
        <w:jc w:val="both"/>
        <w:ind w:firstLine="567"/>
      </w:pPr>
      <w:r>
        <w:t xml:space="preserve">Shu kunga kadar mehnat shartnomasida qayd qilingan vazifalarimni hamda ish beruvchining barcha topshiriqlarini amalga oshirgan holda mehnat faoliyati bilan shugʻullanib kelmoqdaman. Yagona tarif setkasi boʻyicha Mening razryadim </w:t>
      </w:r>
      <w:r>
        <w:rPr>
          <w:vanish w:val="false"/>
        </w:rPr>
        <w:fldChar w:fldCharType="begin"/>
        <w:instrText xml:space="preserve">X {"Y":25}</w:instrText>
        <w:fldChar w:fldCharType="separate"/>
      </w:r>
      <w:r>
        <w:rPr>
          <w:vanish w:val="false"/>
        </w:rPr>
        <w:t xml:space="preserve">Daʼvogarning yagona tarif setkasi boʻyicha mehnat razryadi</w:t>
        <w:fldChar w:fldCharType="end"/>
      </w:r>
      <w:r>
        <w:t xml:space="preserve">. Mening razryadimdan kelib chiqqan holda har oyda </w:t>
      </w:r>
      <w:r>
        <w:rPr>
          <w:vanish w:val="false"/>
        </w:rPr>
        <w:fldChar w:fldCharType="begin"/>
        <w:instrText xml:space="preserve">X {"Y":26}</w:instrText>
        <w:fldChar w:fldCharType="separate"/>
      </w:r>
      <w:r>
        <w:rPr>
          <w:vanish w:val="false"/>
        </w:rPr>
        <w:t xml:space="preserve">Aslida 1 oyda toʻlanishi lozim boʻlgan summa (qoʻlda toʻldiriladi)</w:t>
        <w:fldChar w:fldCharType="end"/>
      </w:r>
      <w:r>
        <w:t xml:space="preserve"> soʻm oylik ish haqi hisoblanishi lozim boʻlsada, ammo </w:t>
      </w:r>
      <w:r>
        <w:rPr>
          <w:vanish w:val="false"/>
        </w:rPr>
        <w:fldChar w:fldCharType="begin"/>
        <w:instrText xml:space="preserve">X {"Y":27}</w:instrText>
        <w:fldChar w:fldCharType="separate"/>
      </w:r>
      <w:r>
        <w:rPr>
          <w:vanish w:val="false"/>
        </w:rPr>
        <w:t xml:space="preserve">Daʼvogarning ish haqi kam hisoblanishining sabablari (qoʻlda toʻldiriladi)</w:t>
        <w:fldChar w:fldCharType="end"/>
      </w:r>
      <w:r>
        <w:t xml:space="preserve"> sababli menga amalda </w:t>
      </w:r>
      <w:r>
        <w:rPr>
          <w:vanish w:val="false"/>
        </w:rPr>
        <w:fldChar w:fldCharType="begin"/>
        <w:instrText xml:space="preserve">X {"Y":28}</w:instrText>
        <w:fldChar w:fldCharType="separate"/>
      </w:r>
      <w:r>
        <w:rPr>
          <w:vanish w:val="false"/>
        </w:rPr>
        <w:t xml:space="preserve">Amalda 1 oyda toʻlangan summa (qoʻlda toʻldiriladi) </w:t>
        <w:fldChar w:fldCharType="end"/>
      </w:r>
      <w:r>
        <w:t xml:space="preserve"> soʻm oylik ish haqi hisoblab kelingan. </w:t>
      </w:r>
    </w:p>
    <w:p>
      <w:pPr>
        <w:jc w:val="both"/>
        <w:ind w:firstLine="567"/>
      </w:pPr>
      <w:r>
        <w:t xml:space="preserve">Amaldagi Mehnat kodeksining 250-moddasiga koʻra, tarifli tizim tarif setkasini, tarif stavkalarini (maoshlarni), tarif razryadlarini, tarif koeffitsiyentlarini oʻz ichiga oladi. Tarif razryadi ishlarning murakkabligini va xodimning malaka darajasini aks ettiradigan qiymatdir. Tarif koeffitsiyenti keyingi razryadlar tarif stavkasining birinchi razryad tarif stavkasiga nisbatan karrali koʻpaytirilishini aks ettiradigan, xodimlar malaka darajasining razryadlar boʻyicha nisbatidir.</w:t>
      </w:r>
    </w:p>
    <w:p>
      <w:pPr>
        <w:jc w:val="both"/>
        <w:ind w:firstLine="567"/>
      </w:pPr>
      <w:r>
        <w:t xml:space="preserve">Shuningdek, mazkur Kodeksning 257-moddasiga koʻra, mehnatga haq toʻlashning ishbay tizimida narxlar belgilangan ish razryadlaridan, mehnatga haq toʻlash razryadlaridan, tarif stavkalaridan (maoshlardan) va ishlab berish normalaridan (vaqt normalaridan) kelib chiqqan holda aniqlanadi.</w:t>
      </w:r>
    </w:p>
    <w:p>
      <w:pPr>
        <w:jc w:val="both"/>
        <w:ind w:firstLine="567"/>
      </w:pPr>
      <w:r>
        <w:t xml:space="preserve">Amaldagi Mehnat kodeksining 244-moddasiga muvofiq, ish beruvchi oʻz moliyaviy ahvolidan qatʼi nazar, qonunchilikda, mehnat haqidagi boshqa huquqiy hujjatlarda, mehnat shartnomasida belgilangan mehnatga haq toʻlash shartlariga muvofiq xodimlar tomonidan bajarilgan ish uchun haq toʻlashni amalga oshirishi lozim. </w:t>
      </w:r>
    </w:p>
    <w:p>
      <w:pPr>
        <w:jc w:val="both"/>
        <w:ind w:firstLine="567"/>
      </w:pPr>
      <w:r>
        <w:t xml:space="preserve">Shuningdek, qonunchilik hujjatlariga koʻra, xodimlarning ayrim toifalari uchun alohida hollarda Oʻzbekiston Respublikasi Hukumati tomonidan ish haqi toʻlashning boshqa muddatlari belgilab qoʻyilishi mumkin. Haq toʻlanadigan kun dam olish kuni yoki bayram kuniga toʻgʻri kelib qolsa, mehnat haqi shu kun arafasida toʻlanadi. Jamoa shartnomasida ish beruvchining aybi bilan xodimga haq toʻlash belgilangan muddatlarga nisbatan kechikkanligi uchun javobgarlik nazarda tutilishi mumkin.</w:t>
      </w:r>
    </w:p>
    <w:p>
      <w:pPr>
        <w:jc w:val="both"/>
        <w:ind w:firstLine="567"/>
      </w:pPr>
      <w:r>
        <w:t xml:space="preserve">Biroq ish beruvchi tomonidan mening </w:t>
      </w:r>
      <w:r>
        <w:rPr>
          <w:vanish w:val="false"/>
        </w:rPr>
        <w:fldChar w:fldCharType="begin"/>
        <w:instrText xml:space="preserve">X {"Y":29}</w:instrText>
        <w:fldChar w:fldCharType="separate"/>
      </w:r>
      <w:r>
        <w:rPr>
          <w:vanish w:val="false"/>
        </w:rPr>
        <w:t xml:space="preserve">Ish haqini notoʻgʻri hisoblash boshlangan sana kalendar</w:t>
        <w:fldChar w:fldCharType="end"/>
      </w:r>
      <w:r>
        <w:t xml:space="preserve"> yildan </w:t>
      </w:r>
      <w:r>
        <w:rPr>
          <w:vanish w:val="false"/>
        </w:rPr>
        <w:fldChar w:fldCharType="begin"/>
        <w:instrText xml:space="preserve">X {"Y":30}</w:instrText>
        <w:fldChar w:fldCharType="separate"/>
      </w:r>
      <w:r>
        <w:rPr>
          <w:vanish w:val="false"/>
        </w:rPr>
        <w:t xml:space="preserve">Ish haqini notoʻgʻri hisoblash tugagan sana kalendar</w:t>
        <w:fldChar w:fldCharType="end"/>
      </w:r>
      <w:r>
        <w:t xml:space="preserve">yilga qadar boʻlgan mehnat faoliyatim uchun ish haqim notoʻgʻri hisoblanib, kam miqdorda oylik ish haqi toʻlanib kelinmoqda. </w:t>
      </w:r>
    </w:p>
    <w:p>
      <w:pPr>
        <w:jc w:val="both"/>
        <w:ind w:firstLine="567"/>
      </w:pPr>
      <w:r>
        <w:t xml:space="preserve">Soha mutaxassislarining hisob kitobiga koʻra, ish haqlarimni hisoblashda xatolikka yoʻl qoʻyilib, amalda koʻrsatilgan davrda ish haqim miqdori </w:t>
      </w:r>
      <w:r>
        <w:rPr>
          <w:vanish w:val="false"/>
        </w:rPr>
        <w:fldChar w:fldCharType="begin"/>
        <w:instrText xml:space="preserve">X {"Y":31}</w:instrText>
        <w:fldChar w:fldCharType="separate"/>
      </w:r>
      <w:r>
        <w:rPr>
          <w:vanish w:val="false"/>
        </w:rPr>
        <w:t xml:space="preserve"> Ish haqining toʻlanmagan umumiy miqdori</w:t>
        <w:fldChar w:fldCharType="end"/>
      </w:r>
      <w:r>
        <w:t xml:space="preserve"> soʻmni tashkil etsada, ish beruvchi </w:t>
      </w:r>
      <w:r>
        <w:rPr>
          <w:vanish w:val="false"/>
        </w:rPr>
        <w:fldChar w:fldCharType="begin"/>
        <w:instrText xml:space="preserve">X {"Y":32}</w:instrText>
        <w:fldChar w:fldCharType="separate"/>
      </w:r>
      <w:r>
        <w:rPr>
          <w:vanish w:val="false"/>
        </w:rPr>
        <w:t xml:space="preserve">Notoʻgʻri hisoblangan ish haqi umumiy miqdori</w:t>
        <w:fldChar w:fldCharType="end"/>
      </w:r>
      <w:r>
        <w:t xml:space="preserve"> soʻm miqdorida ish haqi hisoblab, xatolikka yoʻl qoʻyilib, menga jami </w:t>
      </w:r>
      <w:r>
        <w:rPr>
          <w:vanish w:val="false"/>
        </w:rPr>
        <w:fldChar w:fldCharType="begin"/>
        <w:instrText xml:space="preserve">X {"Y":33}</w:instrText>
        <w:fldChar w:fldCharType="separate"/>
      </w:r>
      <w:r>
        <w:rPr>
          <w:vanish w:val="false"/>
        </w:rPr>
        <w:t xml:space="preserve">Jami toʻlanishi lozim boʻlgan pul miqdori</w:t>
        <w:fldChar w:fldCharType="end"/>
      </w:r>
      <w:r>
        <w:t xml:space="preserve"> soʻm oylik ish haqim toʻlanmasdan kelmoqda. </w:t>
      </w:r>
    </w:p>
    <w:p>
      <w:pPr>
        <w:jc w:val="both"/>
        <w:ind w:firstLine="360"/>
      </w:pPr>
      <w:r>
        <w:t xml:space="preserve">   Yuqorida qayd etilganlarga koʻra, Mehnat kodeksining 154, 161-moddalari, hamda Oʻzbekiston Respublikasi Fuqarolik protsessual kodeksining 188, 189 va 191-moddalariga suddan quyidagilarni </w:t>
      </w:r>
    </w:p>
    <w:p>
      <w:pPr>
        <w:ind w:firstLine="360"/>
      </w:pPr>
    </w:p>
    <w:p>
      <w:pPr>
        <w:jc w:val="center"/>
      </w:pPr>
    </w:p>
    <w:p>
      <w:pPr>
        <w:jc w:val="center"/>
      </w:pPr>
      <w:r>
        <w:t xml:space="preserve">S Oʻ R A Y M A N :</w:t>
      </w:r>
    </w:p>
    <w:p/>
    <w:p>
      <w:pPr>
        <w:jc w:val="both"/>
        <w:ind w:firstLine="567"/>
      </w:pPr>
      <w:r>
        <w:t xml:space="preserve">Mening foydamga javobgar </w:t>
      </w:r>
      <w:r>
        <w:rPr>
          <w:vanish w:val="false"/>
        </w:rPr>
        <w:fldChar w:fldCharType="begin"/>
        <w:instrText xml:space="preserve">X {"Y":10}</w:instrText>
        <w:fldChar w:fldCharType="separate"/>
      </w:r>
      <w:r>
        <w:rPr>
          <w:vanish w:val="false"/>
        </w:rPr>
        <w:t xml:space="preserve">Javobgar yuridik shaxsning toʻliq nomi (qoʻlda toʻldiriladi)</w:t>
        <w:fldChar w:fldCharType="end"/>
      </w:r>
      <w:r>
        <w:t xml:space="preserve">dan </w:t>
      </w:r>
      <w:r>
        <w:rPr>
          <w:vanish w:val="false"/>
        </w:rPr>
        <w:fldChar w:fldCharType="begin"/>
        <w:instrText xml:space="preserve">X {"Y":33}</w:instrText>
        <w:fldChar w:fldCharType="separate"/>
      </w:r>
      <w:r>
        <w:rPr>
          <w:vanish w:val="false"/>
        </w:rPr>
        <w:t xml:space="preserve">Jami toʻlanishi lozim boʻlgan pul miqdori</w:t>
        <w:fldChar w:fldCharType="end"/>
      </w:r>
      <w:r>
        <w:t xml:space="preserve"> soʻm miqdoridagi ish haqi pullarimni undirishingizni.</w:t>
      </w:r>
    </w:p>
    <w:p/>
    <w:p>
      <w:pPr>
        <w:ind w:firstLine="567"/>
      </w:pPr>
      <w:r>
        <w:t xml:space="preserve">Ilova : </w:t>
      </w:r>
      <w:r>
        <w:rPr>
          <w:vanish w:val="false"/>
        </w:rPr>
        <w:fldChar w:fldCharType="begin"/>
        <w:instrText xml:space="preserve">X {"Y":34}</w:instrText>
        <w:fldChar w:fldCharType="separate"/>
      </w:r>
      <w:r>
        <w:rPr>
          <w:vanish w:val="false"/>
        </w:rPr>
        <w:t xml:space="preserve">Daʼvo arizaga ilova qilinayotgan hujjatlar roʻyxati (qoʻlda yoziladi)</w:t>
        <w:fldChar w:fldCharType="end"/>
      </w:r>
    </w:p>
    <w:p>
      <w:r>
        <w:t xml:space="preserve">                  </w:t>
      </w:r>
    </w:p>
    <w:p/>
    <w:tbl>
      <w:tblPr>
        <w:tblW w:w="0" w:type="auto"/>
      </w:tblPr>
      <w:tblGrid>
        <w:gridCol w:w="3023"/>
        <w:gridCol w:w="3042"/>
        <w:gridCol w:w="3006"/>
      </w:tblGrid>
      <w:tr>
        <w:tc>
          <w:tcPr>
            <w:tcW w:w="3095" w:type="dxa"/>
            <w:shd w:fill="auto"/>
          </w:tcPr>
          <w:p>
            <w:pPr>
              <w:jc w:val="right"/>
            </w:pPr>
            <w:r>
              <w:t xml:space="preserve">Daʼvogar: </w:t>
            </w:r>
          </w:p>
        </w:tc>
        <w:tc>
          <w:tcPr>
            <w:tcW w:w="3096" w:type="dxa"/>
            <w:shd w:fill="auto"/>
          </w:tcPr>
          <w:p>
            <w:pPr>
              <w:jc w:val="center"/>
            </w:pPr>
            <w:r>
              <w:rPr>
                <w:vanish w:val="false"/>
              </w:rPr>
              <w:fldChar w:fldCharType="begin"/>
              <w:instrText xml:space="preserve">X {"Y":5}</w:instrText>
              <w:fldChar w:fldCharType="separate"/>
            </w:r>
            <w:r>
              <w:rPr>
                <w:vanish w:val="false"/>
              </w:rPr>
              <w:t xml:space="preserve">Daʼvogarniing F.I.Sh (qoʻlda toʻldiriladi)</w:t>
              <w:fldChar w:fldCharType="end"/>
            </w:r>
          </w:p>
        </w:tc>
        <w:tc>
          <w:tcPr>
            <w:tcW w:w="3096" w:type="dxa"/>
            <w:shd w:fill="auto"/>
          </w:tcPr>
          <w:p/>
        </w:tc>
      </w:tr>
      <w:tr>
        <w:tc>
          <w:tcPr>
            <w:tcW w:w="3095" w:type="dxa"/>
            <w:shd w:fill="auto"/>
          </w:tcPr>
          <w:p/>
        </w:tc>
        <w:tc>
          <w:tcPr>
            <w:tcW w:w="3096" w:type="dxa"/>
            <w:shd w:fill="auto"/>
          </w:tcPr>
          <w:p>
            <w:pPr>
              <w:jc w:val="center"/>
            </w:pPr>
            <w:r>
              <w:t>(imzo)</w:t>
            </w:r>
          </w:p>
          <w:p>
            <w:pPr>
              <w:jc w:val="center"/>
            </w:pPr>
          </w:p>
          <w:p>
            <w:pPr>
              <w:jc w:val="center"/>
            </w:pPr>
          </w:p>
        </w:tc>
        <w:tc>
          <w:tcPr>
            <w:tcW w:w="3096" w:type="dxa"/>
            <w:shd w:fill="auto"/>
          </w:tcPr>
          <w:p>
            <w:pPr>
              <w:jc w:val="right"/>
            </w:pPr>
            <w:r>
              <w:rPr>
                <w:vanish w:val="false"/>
              </w:rPr>
              <w:fldChar w:fldCharType="begin"/>
              <w:instrText xml:space="preserve">X {"Y":3}</w:instrText>
              <w:fldChar w:fldCharType="separate"/>
            </w:r>
            <w:r>
              <w:rPr>
                <w:vanish w:val="false"/>
              </w:rPr>
              <w:t xml:space="preserve">Daʼvo ariza berilgan sana</w:t>
              <w:fldChar w:fldCharType="end"/>
            </w:r>
            <w:r>
              <w:t xml:space="preserve"> yil.</w:t>
            </w:r>
          </w:p>
          <w:p/>
        </w:tc>
      </w:tr>
    </w:tbl>
    <w:p/>
    <w:p/>
    <w:p>
      <w:pPr>
        <w:jc w:val="both"/>
        <w:rPr>
          <w:i/>
        </w:rPr>
      </w:pPr>
      <w:r>
        <w:rPr>
          <w:i/>
        </w:rPr>
        <w:t xml:space="preserve">Izoh: Daʼvo ariza vakil orqali berilgan hollarda vakil tomonidan imzolanadi. Vakilning vakolatini tasdiqlovchi ishonchnoma daʼvo arizasiga ilova qilinishi shart. </w:t>
      </w:r>
    </w:p>
    <w:p/>
    <w:p/>
    <w:sectPr>
      <w:type w:val="continuous"/>
      <w:pgSz w:w="11906" w:h="16838"/>
      <w:pgMar w:left="1701" w:right="1134" w:top="709" w:bottom="709"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9BC"/>
    <w:rsid w:val="000B30D9"/>
    <w:rsid w:val="003849BC"/>
    <w:rsid w:val="00752E69"/>
    <w:rsid w:val="00891A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4E41EA-97B1-4412-936D-9C911847D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1AF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891A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823</Words>
  <Characters>4697</Characters>
  <Application>Microsoft Office Word</Application>
  <DocSecurity>0</DocSecurity>
  <Lines>39</Lines>
  <Paragraphs>11</Paragraphs>
  <ScaleCrop>false</ScaleCrop>
  <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2</cp:revision>
  <dcterms:created xsi:type="dcterms:W3CDTF">2025-03-28T12:01:00Z</dcterms:created>
  <dcterms:modified xsi:type="dcterms:W3CDTF">2025-03-28T12:01:00Z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Daʼvo ariza rekvizitlari</w:name>
    <w:value w:hidden="true">
      <w:unit w:active="false"/>
    </w:value>
  </w:element>
  <w:element w:id="2" w:kind="variable" w:type="string" w:valueMode="normal" w:required="false" w:groupID="1">
    <w:identifier xml:space="preserve">ID2</w:identifier>
    <w:name xml:space="preserve">Daʼvo ariza berilgan sud nomi (roʻyxat)</w:name>
    <w:value w:hidden="false">
      <w:unit w:active="false"/>
    </w:value>
  </w:element>
  <w:element w:id="3" w:kind="variable" w:type="string" w:valueMode="normal" w:required="false" w:groupID="1">
    <w:identifier xml:space="preserve">ID3</w:identifier>
    <w:name xml:space="preserve">Daʼvo ariza berilgan sana</w:name>
    <w:value w:hidden="false">
      <w:unit w:active="false"/>
    </w:value>
  </w:element>
  <w:element w:id="4" w:kind="category" w:type="string" w:valueMode="normal" w:required="false" w:groupID="4">
    <w:identifier xml:space="preserve">ID4</w:identifier>
    <w:name xml:space="preserve">Daʼvogar</w:name>
    <w:value w:hidden="true">
      <w:unit w:active="false"/>
    </w:value>
  </w:element>
  <w:element w:id="5" w:kind="variable" w:type="string" w:valueMode="normal" w:required="false" w:groupID="4">
    <w:identifier xml:space="preserve">ID5</w:identifier>
    <w:name xml:space="preserve">Daʼvogarniing F.I.Sh (qoʻlda toʻldiriladi)</w:name>
    <w:value w:hidden="false">
      <w:unit w:active="false"/>
    </w:value>
  </w:element>
  <w:element w:id="6" w:kind="variable" w:type="string" w:valueMode="normal" w:required="false">
    <w:identifier xml:space="preserve">ID6</w:identifier>
    <w:name xml:space="preserve">Daʼvogarniing yashash manzili (qoʻlda toʻldiriladi)</w:name>
    <w:value w:hidden="false">
      <w:unit w:active="false"/>
    </w:value>
  </w:element>
  <w:element w:id="7" w:kind="variable" w:type="string" w:valueMode="normal" w:required="false">
    <w:identifier xml:space="preserve">ID7</w:identifier>
    <w:name xml:space="preserve">Daʼvogarniing telefon raqami (qoʻlda toʻldiriladi)</w:name>
    <w:value w:hidden="false">
      <w:unit w:active="false"/>
    </w:value>
  </w:element>
  <w:element w:id="8" w:kind="variable" w:type="string" w:valueMode="normal" w:required="false">
    <w:identifier xml:space="preserve">ID8</w:identifier>
    <w:name xml:space="preserve">Daʼvogarniing elektron manzili (qoʻlda toʻldiriladi)
</w:name>
    <w:value w:hidden="false">
      <w:unit w:active="false"/>
    </w:value>
  </w:element>
  <w:element w:id="9" w:kind="category" w:type="string" w:valueMode="normal" w:required="false">
    <w:identifier xml:space="preserve">ID9</w:identifier>
    <w:name xml:space="preserve">Javobgar</w:name>
    <w:value w:hidden="true">
      <w:unit w:active="false"/>
    </w:value>
  </w:element>
  <w:element w:id="10" w:kind="variable" w:type="string" w:valueMode="normal" w:required="false">
    <w:identifier xml:space="preserve">ID10</w:identifier>
    <w:name xml:space="preserve">Javobgar yuridik shaxsning toʻliq nomi (qoʻlda toʻldiriladi)</w:name>
    <w:value w:hidden="false">
      <w:unit w:active="false"/>
    </w:value>
  </w:element>
  <w:element w:id="11" w:kind="variable" w:type="string" w:valueMode="normal" w:required="false">
    <w:identifier xml:space="preserve">ID11</w:identifier>
    <w:name xml:space="preserve">Javobgarning manzili (qoʻlda toʻldiriladi)</w:name>
    <w:value w:hidden="false">
      <w:unit w:active="false"/>
    </w:value>
  </w:element>
  <w:element w:id="12" w:kind="variable" w:type="string" w:valueMode="normal" w:required="false">
    <w:identifier xml:space="preserve">ID12</w:identifier>
    <w:name xml:space="preserve">Javobgarning hisob raqami (qoʻlda toʻldiriladi)</w:name>
    <w:value w:hidden="false">
      <w:unit w:active="false"/>
    </w:value>
  </w:element>
  <w:element w:id="13" w:kind="variable" w:type="string" w:valueMode="normal" w:required="false">
    <w:identifier xml:space="preserve">ID13</w:identifier>
    <w:name xml:space="preserve">Javobgarning STIR raqami (qoʻlda toʻldiriladi)</w:name>
    <w:value w:hidden="false">
      <w:unit w:active="false"/>
    </w:value>
  </w:element>
  <w:element w:id="14" w:kind="variable" w:type="string" w:valueMode="normal" w:required="false">
    <w:identifier xml:space="preserve">ID14</w:identifier>
    <w:name xml:space="preserve">Javobgarning MFO raqami (qoʻlda toʻldiriladi)</w:name>
    <w:value w:hidden="false">
      <w:unit w:active="false"/>
    </w:value>
  </w:element>
  <w:element w:id="15" w:kind="variable" w:type="string" w:valueMode="normal" w:required="false">
    <w:identifier xml:space="preserve">ID15</w:identifier>
    <w:name xml:space="preserve">Javobgarning OKED raqami (qoʻlda toʻldiriladi)</w:name>
    <w:value w:hidden="false">
      <w:unit w:active="false"/>
    </w:value>
  </w:element>
  <w:element w:id="16" w:kind="variable" w:type="string" w:valueMode="normal" w:required="false">
    <w:identifier xml:space="preserve">ID16</w:identifier>
    <w:name xml:space="preserve">Javobgarning telefon raqami (qoʻlda toʻldiriladi)</w:name>
    <w:value w:hidden="false">
      <w:unit w:active="false"/>
    </w:value>
  </w:element>
  <w:element w:id="17" w:kind="variable" w:type="string" w:valueMode="normal" w:required="false">
    <w:identifier xml:space="preserve">ID17</w:identifier>
    <w:name xml:space="preserve">Elektron manzili (qoʻlda toʻldiriladi)</w:name>
    <w:value w:hidden="false">
      <w:unit w:active="false"/>
    </w:value>
  </w:element>
  <w:element w:id="18" w:kind="category" w:type="string" w:valueMode="normal" w:required="false">
    <w:identifier xml:space="preserve">ID18</w:identifier>
    <w:name xml:space="preserve">Daʼvo arizasi mazmuni</w:name>
    <w:value w:hidden="true">
      <w:unit w:active="false"/>
    </w:value>
  </w:element>
  <w:element w:id="19" w:kind="variable" w:type="string" w:valueMode="normal" w:required="false">
    <w:identifier xml:space="preserve">ID19</w:identifier>
    <w:name xml:space="preserve">Daʼvo mazmuni</w:name>
    <w:value w:hidden="false">
      <w:unit w:active="false"/>
    </w:value>
  </w:element>
  <w:element w:id="20" w:kind="variable" w:type="string" w:valueMode="normal" w:required="false">
    <w:identifier xml:space="preserve">ID20</w:identifier>
    <w:name xml:space="preserve">Yuridik shaxs rahbarining mansabi (qoʻlda toʻldiriladi)</w:name>
    <w:value w:hidden="false">
      <w:unit w:active="false"/>
    </w:value>
  </w:element>
  <w:element w:id="21" w:kind="variable" w:type="string" w:valueMode="normal" w:required="false">
    <w:identifier xml:space="preserve">ID21</w:identifier>
    <w:name xml:space="preserve">Yuridik shaxs rahbarining F.I.Sh (qoʻlda toʻldiriladi)</w:name>
    <w:value w:hidden="false">
      <w:unit w:active="false"/>
    </w:value>
  </w:element>
  <w:element w:id="22" w:kind="variable" w:type="string" w:valueMode="normal" w:required="false">
    <w:identifier xml:space="preserve">ID22</w:identifier>
    <w:name xml:space="preserve">Ishga qabul qilish sanasi (kalendar)</w:name>
    <w:value w:hidden="false">
      <w:unit w:active="false"/>
    </w:value>
  </w:element>
  <w:element w:id="23" w:kind="variable" w:type="string" w:valueMode="normal" w:required="false">
    <w:identifier xml:space="preserve">ID23</w:identifier>
    <w:name xml:space="preserve">Ishga qabul qilish buyruq raqami (qoʻlda toʻldiriladi)</w:name>
    <w:value w:hidden="false">
      <w:unit w:active="false"/>
    </w:value>
  </w:element>
  <w:element w:id="24" w:kind="variable" w:type="string" w:valueMode="normal" w:required="false">
    <w:identifier xml:space="preserve">ID24</w:identifier>
    <w:name xml:space="preserve">Daʼvogar ishlab kelgan lavozimi nomi (qoʻlda toʻldiriladi)</w:name>
    <w:value w:hidden="false">
      <w:unit w:active="false"/>
    </w:value>
  </w:element>
  <w:element w:id="25" w:kind="variable" w:type="string" w:valueMode="normal" w:required="false">
    <w:identifier xml:space="preserve">ID25</w:identifier>
    <w:name xml:space="preserve">Daʼvogarning yagona tarif setkasi boʻyicha mehnat razryadi</w:name>
    <w:value w:hidden="false">
      <w:unit w:active="false"/>
    </w:value>
  </w:element>
  <w:element w:id="26" w:kind="variable" w:type="string" w:valueMode="normal" w:required="false">
    <w:identifier xml:space="preserve">ID26</w:identifier>
    <w:name xml:space="preserve">Aslida 1 oyda toʻlanishi lozim boʻlgan summa (qoʻlda toʻldiriladi)</w:name>
    <w:value w:hidden="false">
      <w:unit w:active="false"/>
    </w:value>
  </w:element>
  <w:element w:id="27" w:kind="variable" w:type="string" w:valueMode="normal" w:required="false">
    <w:identifier xml:space="preserve">ID27</w:identifier>
    <w:name xml:space="preserve">Daʼvogarning ish haqi kam hisoblanishining sabablari (qoʻlda toʻldiriladi)</w:name>
    <w:value w:hidden="false">
      <w:unit w:active="false"/>
    </w:value>
  </w:element>
  <w:element w:id="28" w:kind="variable" w:type="string" w:valueMode="normal" w:required="false">
    <w:identifier xml:space="preserve">ID28</w:identifier>
    <w:name xml:space="preserve">Amalda 1 oyda toʻlangan summa (qoʻlda toʻldiriladi) </w:name>
    <w:value w:hidden="false">
      <w:unit w:active="false"/>
    </w:value>
  </w:element>
  <w:element w:id="29" w:kind="variable" w:type="string" w:valueMode="normal" w:required="false">
    <w:identifier xml:space="preserve">ID29</w:identifier>
    <w:name xml:space="preserve">Ish haqini notoʻgʻri hisoblash boshlangan sana kalendar</w:name>
    <w:value w:hidden="false">
      <w:unit w:active="false"/>
    </w:value>
  </w:element>
  <w:element w:id="30" w:kind="variable" w:type="string" w:valueMode="normal" w:required="false">
    <w:identifier xml:space="preserve">ID30</w:identifier>
    <w:name xml:space="preserve">Ish haqini notoʻgʻri hisoblash tugagan sana kalendar</w:name>
    <w:value w:hidden="false">
      <w:unit w:active="false"/>
    </w:value>
  </w:element>
  <w:element w:id="31" w:kind="variable" w:type="string" w:valueMode="normal" w:required="false">
    <w:identifier xml:space="preserve">ID31</w:identifier>
    <w:name xml:space="preserve"> Ish haqining toʻlanmagan umumiy miqdori</w:name>
    <w:value w:hidden="false">
      <w:unit w:active="false"/>
    </w:value>
  </w:element>
  <w:element w:id="32" w:kind="variable" w:type="string" w:valueMode="normal" w:required="false">
    <w:identifier xml:space="preserve">ID32</w:identifier>
    <w:name xml:space="preserve">Notoʻgʻri hisoblangan ish haqi umumiy miqdori</w:name>
    <w:value w:hidden="false">
      <w:unit w:active="false"/>
    </w:value>
  </w:element>
  <w:element w:id="33" w:kind="variable" w:type="string" w:valueMode="normal" w:required="false">
    <w:identifier xml:space="preserve">ID33</w:identifier>
    <w:name xml:space="preserve">Jami toʻlanishi lozim boʻlgan pul miqdori</w:name>
    <w:value w:hidden="false">
      <w:unit w:active="false"/>
    </w:value>
  </w:element>
  <w:element w:id="34" w:kind="variable" w:type="string" w:valueMode="normal" w:required="false">
    <w:identifier xml:space="preserve">ID34</w:identifier>
    <w:name xml:space="preserve">Daʼvo arizaga ilova qilinayotgan hujjatlar roʻyxati (qoʻlda yoziladi)</w:name>
    <w:value w:hidden="false">
      <w:unit w:active="false"/>
    </w:value>
  </w:element>
</w:structure>
</file>