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line="276" w:lineRule="auto"/>
        <w:rPr>
          <w:b/>
          <w:sz w:val="28"/>
          <w:rFonts w:ascii="Times New Roman" w:hAnsi="Times New Roman"/>
        </w:rPr>
      </w:pPr>
      <w:r>
        <w:rPr>
          <w:sz w:val="28"/>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both"/>
              <w:spacing w:line="276" w:lineRule="auto"/>
              <w:rPr>
                <w:sz w:val="28"/>
                <w:rFonts w:ascii="Times New Roman" w:hAnsi="Times New Roman"/>
              </w:rPr>
            </w:pPr>
            <w:r>
              <w:rPr>
                <w:sz w:val="28"/>
              </w:rPr>
            </w:r>
          </w:p>
        </w:tc>
        <w:tc>
          <w:tcPr>
            <w:tcW w:w="3115" w:type="dxa"/>
          </w:tcPr>
          <w:p>
            <w:pPr>
              <w:jc w:val="both"/>
              <w:spacing w:line="276" w:lineRule="auto"/>
              <w:rPr>
                <w:sz w:val="28"/>
                <w:rFonts w:ascii="Times New Roman" w:hAnsi="Times New Roman"/>
              </w:rPr>
            </w:pPr>
            <w:r>
              <w:rPr>
                <w:sz w:val="28"/>
              </w:rPr>
            </w:r>
          </w:p>
        </w:tc>
        <w:tc>
          <w:tcPr>
            <w:tcW w:w="3115" w:type="dxa"/>
          </w:tcPr>
          <w:p>
            <w:pPr>
              <w:spacing w:line="276" w:lineRule="auto"/>
              <w:rPr>
                <w:sz w:val="28"/>
                <w:rFonts w:ascii="Times New Roman" w:hAnsi="Times New Roman"/>
              </w:rPr>
            </w:pPr>
            <w:r>
              <w:rPr>
                <w:sz w:val="28"/>
                <w:rFonts w:ascii="Times New Roman" w:hAnsi="Times New Roman"/>
              </w:rPr>
              <w:t xml:space="preserve">Iqtisodiy ishlari boʻyicha </w:t>
            </w:r>
            <w:r>
              <w:rPr>
                <w:vanish w:val="false"/>
                <w:sz w:val="28"/>
                <w:rFonts w:ascii="Times New Roman" w:hAnsi="Times New Roman"/>
              </w:rPr>
              <w:fldChar w:fldCharType="begin"/>
              <w:instrText xml:space="preserve">X {"Y":2}</w:instrText>
              <w:fldChar w:fldCharType="separate"/>
              <w:t xml:space="preserve">Iqtisodiy ishlari bo‘yicha sudning nomi</w:t>
            </w:r>
            <w:r>
              <w:rPr>
                <w:vanish w:val="false"/>
                <w:sz w:val="28"/>
                <w:rFonts w:ascii="Times New Roman" w:hAnsi="Times New Roman"/>
              </w:rPr>
              <w:fldChar w:fldCharType="end"/>
            </w:r>
            <w:r>
              <w:rPr>
                <w:sz w:val="28"/>
                <w:rFonts w:ascii="Times New Roman" w:hAnsi="Times New Roman"/>
              </w:rPr>
              <w:t xml:space="preserve"> sudiga</w:t>
            </w:r>
          </w:p>
          <w:p>
            <w:pPr>
              <w:jc w:val="both"/>
              <w:spacing w:line="276" w:lineRule="auto"/>
              <w:rPr>
                <w:sz w:val="28"/>
                <w:rFonts w:ascii="Times New Roman" w:hAnsi="Times New Roman"/>
              </w:rPr>
            </w:pPr>
            <w:r>
              <w:rPr>
                <w:sz w:val="28"/>
              </w:rPr>
            </w:r>
          </w:p>
        </w:tc>
      </w:tr>
      <w:tr>
        <w:tc>
          <w:tcPr>
            <w:tcW w:w="3115" w:type="dxa"/>
          </w:tcPr>
          <w:p>
            <w:pPr>
              <w:jc w:val="both"/>
              <w:spacing w:line="276" w:lineRule="auto"/>
              <w:rPr>
                <w:sz w:val="28"/>
                <w:rFonts w:ascii="Times New Roman" w:hAnsi="Times New Roman"/>
              </w:rPr>
            </w:pPr>
            <w:r>
              <w:rPr>
                <w:sz w:val="28"/>
              </w:rPr>
            </w:r>
          </w:p>
        </w:tc>
        <w:tc>
          <w:tcPr>
            <w:tcW w:w="3115" w:type="dxa"/>
          </w:tcPr>
          <w:p>
            <w:pPr>
              <w:jc w:val="both"/>
              <w:spacing w:line="276" w:lineRule="auto"/>
              <w:rPr>
                <w:sz w:val="28"/>
                <w:rFonts w:ascii="Times New Roman" w:hAnsi="Times New Roman"/>
              </w:rPr>
            </w:pPr>
            <w:r>
              <w:rPr>
                <w:sz w:val="28"/>
              </w:rPr>
            </w:r>
          </w:p>
        </w:tc>
        <w:tc>
          <w:tcPr>
            <w:tcW w:w="3115" w:type="dxa"/>
          </w:tcPr>
          <w:p>
            <w:pPr>
              <w:jc w:val="both"/>
              <w:spacing w:line="276"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Arizachining F.I.Sh</w:t>
            </w:r>
            <w:r>
              <w:rPr>
                <w:vanish w:val="false"/>
                <w:sz w:val="28"/>
                <w:rFonts w:ascii="Times New Roman" w:hAnsi="Times New Roman"/>
              </w:rPr>
              <w:fldChar w:fldCharType="end"/>
            </w:r>
          </w:p>
        </w:tc>
      </w:tr>
      <w:tr>
        <w:tc>
          <w:tcPr>
            <w:tcW w:w="3115" w:type="dxa"/>
          </w:tcPr>
          <w:p>
            <w:pPr>
              <w:jc w:val="both"/>
              <w:spacing w:line="276" w:lineRule="auto"/>
              <w:rPr>
                <w:sz w:val="28"/>
                <w:rFonts w:ascii="Times New Roman" w:hAnsi="Times New Roman"/>
              </w:rPr>
            </w:pPr>
            <w:r>
              <w:rPr>
                <w:sz w:val="28"/>
              </w:rPr>
            </w:r>
          </w:p>
        </w:tc>
        <w:tc>
          <w:tcPr>
            <w:tcW w:w="3115" w:type="dxa"/>
          </w:tcPr>
          <w:p>
            <w:pPr>
              <w:jc w:val="both"/>
              <w:spacing w:line="276" w:lineRule="auto"/>
              <w:rPr>
                <w:sz w:val="28"/>
                <w:rFonts w:ascii="Times New Roman" w:hAnsi="Times New Roman"/>
              </w:rPr>
            </w:pPr>
            <w:r>
              <w:rPr>
                <w:sz w:val="28"/>
              </w:rPr>
            </w:r>
          </w:p>
        </w:tc>
        <w:tc>
          <w:tcPr>
            <w:tcW w:w="3115" w:type="dxa"/>
          </w:tcPr>
          <w:p>
            <w:pPr>
              <w:jc w:val="both"/>
              <w:spacing w:line="276" w:lineRule="auto"/>
              <w:rPr>
                <w:sz w:val="28"/>
                <w:rFonts w:ascii="Times New Roman" w:hAnsi="Times New Roman"/>
              </w:rPr>
            </w:pPr>
            <w:r>
              <w:rPr>
                <w:sz w:val="28"/>
              </w:rPr>
            </w:r>
          </w:p>
        </w:tc>
      </w:tr>
    </w:tbl>
    <w:p>
      <w:pPr>
        <w:jc w:val="both"/>
        <w:spacing w:after="0" w:line="276" w:lineRule="auto"/>
        <w:rPr>
          <w:sz w:val="28"/>
          <w:rFonts w:ascii="Times New Roman" w:hAnsi="Times New Roman"/>
        </w:rPr>
      </w:pPr>
      <w:r>
        <w:rPr>
          <w:sz w:val="28"/>
        </w:rPr>
      </w:r>
    </w:p>
    <w:p>
      <w:pPr>
        <w:jc w:val="center"/>
        <w:spacing w:after="0" w:line="276" w:lineRule="auto"/>
        <w:rPr>
          <w:b/>
          <w:sz w:val="28"/>
          <w:rFonts w:ascii="Times New Roman" w:hAnsi="Times New Roman"/>
        </w:rPr>
      </w:pPr>
      <w:r>
        <w:rPr>
          <w:b/>
          <w:sz w:val="28"/>
          <w:rFonts w:ascii="Times New Roman" w:hAnsi="Times New Roman"/>
        </w:rPr>
        <w:t>ILTIMOSNOMA</w:t>
      </w:r>
    </w:p>
    <w:p>
      <w:pPr>
        <w:jc w:val="center"/>
        <w:spacing w:after="0" w:line="276" w:lineRule="auto"/>
        <w:rPr>
          <w:sz w:val="28"/>
          <w:rFonts w:ascii="Times New Roman" w:hAnsi="Times New Roman"/>
        </w:rPr>
      </w:pPr>
      <w:r>
        <w:rPr>
          <w:sz w:val="28"/>
          <w:rFonts w:ascii="Times New Roman" w:hAnsi="Times New Roman"/>
        </w:rPr>
        <w:t xml:space="preserve">(Ish koʻrib chiqilishini kechiktirish (boshqa kunga qoldirish) toʻgʻrisida)</w:t>
      </w:r>
    </w:p>
    <w:p>
      <w:pPr>
        <w:jc w:val="center"/>
        <w:spacing w:after="0" w:line="276" w:lineRule="auto"/>
        <w:rPr>
          <w:sz w:val="28"/>
          <w:rFonts w:ascii="Times New Roman" w:hAnsi="Times New Roman"/>
        </w:rPr>
      </w:pPr>
      <w:r>
        <w:rPr>
          <w:sz w:val="28"/>
        </w:rPr>
      </w:r>
    </w:p>
    <w:p>
      <w:pPr>
        <w:jc w:val="both"/>
        <w:ind w:firstLine="709"/>
        <w:spacing w:after="0" w:line="276" w:lineRule="auto"/>
        <w:rPr>
          <w:sz w:val="28"/>
          <w:rFonts w:ascii="Times New Roman" w:hAnsi="Times New Roman"/>
        </w:rPr>
      </w:pPr>
      <w:r>
        <w:rPr>
          <w:sz w:val="28"/>
          <w:rFonts w:ascii="Times New Roman" w:hAnsi="Times New Roman"/>
        </w:rPr>
        <w:t xml:space="preserve">Beraman ushbu arizani shu haqdakim, </w:t>
      </w:r>
      <w:r>
        <w:rPr>
          <w:vanish w:val="false"/>
          <w:sz w:val="28"/>
          <w:rFonts w:ascii="Times New Roman" w:hAnsi="Times New Roman"/>
        </w:rPr>
        <w:fldChar w:fldCharType="begin"/>
        <w:instrText xml:space="preserve">X {"Y":6}</w:instrText>
        <w:fldChar w:fldCharType="separate"/>
        <w:t xml:space="preserve">Iqtisodiy ish ko‘rib chiqiladigan muddat</w:t>
      </w:r>
      <w:r>
        <w:rPr>
          <w:vanish w:val="false"/>
          <w:sz w:val="28"/>
          <w:rFonts w:ascii="Times New Roman" w:hAnsi="Times New Roman"/>
        </w:rPr>
        <w:fldChar w:fldCharType="end"/>
      </w:r>
      <w:r>
        <w:rPr>
          <w:sz w:val="28"/>
          <w:rFonts w:ascii="Times New Roman" w:hAnsi="Times New Roman"/>
        </w:rPr>
        <w:t xml:space="preserve">da iqtisodiy ishlari boʻyicha </w:t>
      </w:r>
      <w:r>
        <w:rPr>
          <w:vanish w:val="false"/>
          <w:sz w:val="28"/>
          <w:rFonts w:ascii="Times New Roman" w:hAnsi="Times New Roman"/>
        </w:rPr>
        <w:fldChar w:fldCharType="begin"/>
        <w:instrText xml:space="preserve">X {"Y":2}</w:instrText>
        <w:fldChar w:fldCharType="separate"/>
        <w:t xml:space="preserve">Iqtisodiy ishlari bo‘yicha sudning nomi</w:t>
      </w:r>
      <w:r>
        <w:rPr>
          <w:vanish w:val="false"/>
          <w:sz w:val="28"/>
          <w:rFonts w:ascii="Times New Roman" w:hAnsi="Times New Roman"/>
        </w:rPr>
        <w:fldChar w:fldCharType="end"/>
      </w:r>
      <w:r>
        <w:rPr>
          <w:sz w:val="28"/>
          <w:rFonts w:ascii="Times New Roman" w:hAnsi="Times New Roman"/>
        </w:rPr>
        <w:t xml:space="preserve"> tumanlararo sudi tomonidan koʻrib chiqiladigan iqtisodiy ishni kechiktirishni (boshqa kunga qoldirish)ni quyidagi asoslarga koʻra soʻrayman:</w:t>
      </w:r>
    </w:p>
    <w:p>
      <w:pPr>
        <w:jc w:val="both"/>
        <w:ind w:firstLine="709"/>
        <w:spacing w:after="0" w:line="276" w:lineRule="auto"/>
        <w:rPr>
          <w:sz w:val="28"/>
          <w:rFonts w:ascii="Times New Roman" w:hAnsi="Times New Roman"/>
        </w:rPr>
      </w:pPr>
      <w:r>
        <w:rPr>
          <w:sz w:val="28"/>
          <w:rFonts w:ascii="Times New Roman" w:hAnsi="Times New Roman"/>
        </w:rPr>
        <w:t xml:space="preserve">Oʻzbekiston Respublikasi Iqtisodiy protsessual kodeksining 171-moddasiga asosan, sud kutilmagan va favqulodda holatlarda ishni sud majlisida koʻrish mumkin boʻlmagan taqdirda, shu jumladan:</w:t>
      </w:r>
    </w:p>
    <w:p>
      <w:pPr>
        <w:jc w:val="both"/>
        <w:ind w:firstLine="709"/>
        <w:spacing w:after="0" w:line="276" w:lineRule="auto"/>
        <w:rPr>
          <w:sz w:val="28"/>
          <w:rFonts w:ascii="Times New Roman" w:hAnsi="Times New Roman"/>
        </w:rPr>
      </w:pPr>
      <w:r>
        <w:rPr>
          <w:sz w:val="28"/>
          <w:rFonts w:ascii="Times New Roman" w:hAnsi="Times New Roman"/>
        </w:rPr>
        <w:t xml:space="preserve">tarafning iltimosnomasi boʻyicha, u nizoni kelishuv yoʻli bilan hal qilish maqsadida suddan koʻmaklashishni soʻrab murojaat qilgan taqdirda;</w:t>
      </w:r>
    </w:p>
    <w:p>
      <w:pPr>
        <w:jc w:val="both"/>
        <w:ind w:firstLine="709"/>
        <w:spacing w:after="0" w:line="276" w:lineRule="auto"/>
        <w:rPr>
          <w:sz w:val="28"/>
          <w:rFonts w:ascii="Times New Roman" w:hAnsi="Times New Roman"/>
        </w:rPr>
      </w:pPr>
      <w:r>
        <w:rPr>
          <w:sz w:val="28"/>
          <w:rFonts w:ascii="Times New Roman" w:hAnsi="Times New Roman"/>
        </w:rPr>
        <w:t xml:space="preserve">agar sud majlisining vaqti va joyi haqida tegishli tarzda xabardor qilingan ishda ishtirok etuvchi shaxs sud majlisiga kela olmasligi sabablarini asoslagan holda sud muhokamasini keyinga qoldirish toʻgʻrisida iltimosnoma bilan murojaat qilgan boʻlsa va basharti ushbu shaxsning ishtirokisiz ishni koʻrish mumkin boʻlmasa;</w:t>
      </w:r>
    </w:p>
    <w:p>
      <w:pPr>
        <w:jc w:val="both"/>
        <w:ind w:firstLine="709"/>
        <w:spacing w:after="0" w:line="276" w:lineRule="auto"/>
        <w:rPr>
          <w:sz w:val="28"/>
          <w:rFonts w:ascii="Times New Roman" w:hAnsi="Times New Roman"/>
        </w:rPr>
      </w:pPr>
      <w:r>
        <w:rPr>
          <w:sz w:val="28"/>
          <w:rFonts w:ascii="Times New Roman" w:hAnsi="Times New Roman"/>
        </w:rPr>
        <w:t xml:space="preserve">ishda ishtirok etuvchi shaxsning oʻz vakili sud majlisiga uzrli sababga koʻra kela olmaganligi munosabati bilan qilgan iltimosnomasi boʻyicha;</w:t>
      </w:r>
    </w:p>
    <w:p>
      <w:pPr>
        <w:jc w:val="both"/>
        <w:ind w:firstLine="709"/>
        <w:spacing w:after="0" w:line="276" w:lineRule="auto"/>
        <w:rPr>
          <w:sz w:val="28"/>
          <w:rFonts w:ascii="Times New Roman" w:hAnsi="Times New Roman"/>
        </w:rPr>
      </w:pPr>
      <w:r>
        <w:rPr>
          <w:sz w:val="28"/>
          <w:rFonts w:ascii="Times New Roman" w:hAnsi="Times New Roman"/>
        </w:rPr>
        <w:t xml:space="preserve">sud protsessi ishtirokchilaridan birortasi, agar sud ishni ushbu shaxsning ishtirokisiz koʻrish mumkin emas deb hisoblasa, kelmagan taqdirda;</w:t>
      </w:r>
    </w:p>
    <w:p>
      <w:pPr>
        <w:jc w:val="both"/>
        <w:ind w:firstLine="709"/>
        <w:spacing w:after="0" w:line="276" w:lineRule="auto"/>
        <w:rPr>
          <w:sz w:val="28"/>
          <w:rFonts w:ascii="Times New Roman" w:hAnsi="Times New Roman"/>
        </w:rPr>
      </w:pPr>
      <w:r>
        <w:rPr>
          <w:sz w:val="28"/>
          <w:rFonts w:ascii="Times New Roman" w:hAnsi="Times New Roman"/>
        </w:rPr>
        <w:t xml:space="preserve">tarafning qoʻshimcha dalillar taqdim etish yoki uchinchi shaxslardan talab qilib olish zarurati bilan bogʻliq holda sud muhokamasini keyinga qoldirish toʻgʻrisidagi iltimosnomasi boʻyicha;</w:t>
      </w:r>
    </w:p>
    <w:p>
      <w:pPr>
        <w:jc w:val="both"/>
        <w:ind w:firstLine="709"/>
        <w:spacing w:after="0" w:line="276" w:lineRule="auto"/>
        <w:rPr>
          <w:sz w:val="28"/>
          <w:rFonts w:ascii="Times New Roman" w:hAnsi="Times New Roman"/>
        </w:rPr>
      </w:pPr>
      <w:r>
        <w:rPr>
          <w:sz w:val="28"/>
          <w:rFonts w:ascii="Times New Roman" w:hAnsi="Times New Roman"/>
        </w:rPr>
        <w:t xml:space="preserve">sud majlisi videokonferensaloqa rejimida oʻtkazilayotganda videokonferensaloqa oʻrnatish imkoni boʻlmagan taqdirda;</w:t>
      </w:r>
    </w:p>
    <w:p>
      <w:pPr>
        <w:jc w:val="both"/>
        <w:ind w:firstLine="709"/>
        <w:spacing w:after="0" w:line="276" w:lineRule="auto"/>
        <w:rPr>
          <w:sz w:val="28"/>
          <w:rFonts w:ascii="Times New Roman" w:hAnsi="Times New Roman"/>
        </w:rPr>
      </w:pPr>
      <w:r>
        <w:rPr>
          <w:sz w:val="28"/>
          <w:rFonts w:ascii="Times New Roman" w:hAnsi="Times New Roman"/>
        </w:rPr>
        <w:t xml:space="preserve">sud protsessi ishtirokchilaridan birortasi kelmagan va koʻrsatilgan shaxsning sud muhokamasining vaqti va joyi haqida tegishli tarzda xabardor qilinganligi toʻgʻrisida dalillar mavjud boʻlmagan taqdirda;</w:t>
      </w:r>
    </w:p>
    <w:p>
      <w:pPr>
        <w:jc w:val="both"/>
        <w:ind w:firstLine="709"/>
        <w:spacing w:after="0" w:line="276" w:lineRule="auto"/>
        <w:rPr>
          <w:sz w:val="28"/>
          <w:rFonts w:ascii="Times New Roman" w:hAnsi="Times New Roman"/>
        </w:rPr>
      </w:pPr>
      <w:r>
        <w:rPr>
          <w:sz w:val="28"/>
          <w:rFonts w:ascii="Times New Roman" w:hAnsi="Times New Roman"/>
        </w:rPr>
        <w:t xml:space="preserve">ishga daxldor boʻlmagan javobgarni ishga daxldor boʻlgan javobgar bilan almashtirish zarur boʻlgan taqdirda;</w:t>
      </w:r>
    </w:p>
    <w:p>
      <w:pPr>
        <w:jc w:val="both"/>
        <w:ind w:firstLine="709"/>
        <w:spacing w:after="0" w:line="276" w:lineRule="auto"/>
        <w:rPr>
          <w:sz w:val="28"/>
          <w:rFonts w:ascii="Times New Roman" w:hAnsi="Times New Roman"/>
        </w:rPr>
      </w:pPr>
      <w:r>
        <w:rPr>
          <w:sz w:val="28"/>
          <w:rFonts w:ascii="Times New Roman" w:hAnsi="Times New Roman"/>
        </w:rPr>
        <w:t xml:space="preserve">nizoli huquqiy munosabatdan chiqib ketgan tarafni uning huquqiy vorisi bilan almashtirish zarur boʻlgan taqdirda;</w:t>
      </w:r>
    </w:p>
    <w:p>
      <w:pPr>
        <w:jc w:val="both"/>
        <w:ind w:firstLine="709"/>
        <w:spacing w:after="0" w:line="276" w:lineRule="auto"/>
        <w:rPr>
          <w:sz w:val="28"/>
          <w:rFonts w:ascii="Times New Roman" w:hAnsi="Times New Roman"/>
        </w:rPr>
      </w:pPr>
      <w:r>
        <w:rPr>
          <w:sz w:val="28"/>
          <w:rFonts w:ascii="Times New Roman" w:hAnsi="Times New Roman"/>
        </w:rPr>
        <w:t xml:space="preserve">ikkinchi javobgarni yoki uchinchi tarafni ishda ishtirok etish uchun jalb etish zarur boʻlgan taqdirda sud muhokamasini keyinga qoldirishga haqli ekanligi belgilangan. </w:t>
      </w:r>
    </w:p>
    <w:p>
      <w:pPr>
        <w:jc w:val="both"/>
        <w:ind w:firstLine="834"/>
        <w:spacing w:after="0" w:line="276" w:lineRule="auto"/>
        <w:rPr>
          <w:sz w:val="28"/>
          <w:rFonts w:ascii="Times New Roman" w:hAnsi="Times New Roman"/>
        </w:rPr>
      </w:pPr>
      <w:r>
        <w:rPr>
          <w:sz w:val="28"/>
        </w:rPr>
        <w:t xml:space="preserve">Oʻzbekiston Respublikasi Oliy xoʻjalik sudi Plenumining “Iqtisodiy sudlar tomonidan protsessual muddatlarga oid qonun normalarini qoʻllashning ayrim masalalari toʻgʻrisida”gi qarorining 19-bandiga koʻra, IPK 171-moddasining birinchi qismiga muvofiq asoslar mavjud boʻlganda ishni koʻrish keyinga qoldirilishi mumkin. Sudlar shuni nazarda tutishi kerakki, sud majlisi ishni koʻrishga toʻsqinlik qilayotgan holatlarni bartaraf etish uchun zarur boʻlgan oqilona muddatga qoldirilishi lozim, biroq ishni koʻrish muddati, qoldirishlarni hisobga olgan holda IPKning 164-moddasida nazarda tutilgan muddatlardan oshmasligi kerak.</w:t>
      </w:r>
    </w:p>
    <w:p>
      <w:pPr>
        <w:jc w:val="both"/>
        <w:ind w:firstLine="834"/>
        <w:spacing w:line="276" w:lineRule="auto"/>
      </w:pPr>
      <w:r>
        <w:rPr>
          <w:sz w:val="28"/>
        </w:rPr>
        <w:t xml:space="preserve">Oʻzbekiston Respublikasi Oliy xoʻjalik sudi Plenumining “Iqtisodiy sudlar tomonidan videokonferensaloqa rejimida sud majlislarini oʻtkazishda protsessual qonun normalarini qoʻllashning ayrim masalalari toʻgʻrisida”gi qarorining 10 va 11-bandlariga koʻra, IPK 171-moddasining birinchi qismiga muvofiq, iqtisodiy sudi ishni shu majlisda koʻrish mumkin boʻlmagan taqdirda, shu jumladan ishda ishtirok etuvchi shaxslar, guvohlar, ekspertlar va tarjimonlardan biri kelmaganligi yoki qoʻshimcha dalillar taqdim etish zarurligi sababli yoxud videokonferensaloqa rejimidagi sud majlisini oʻtkazish vaqtida videokonferensaloqa oʻrnatishning imkoni boʻlmagan taqdirda ishni koʻrishni keyinga qoldirishga haqli.</w:t>
      </w:r>
    </w:p>
    <w:p>
      <w:pPr>
        <w:jc w:val="both"/>
        <w:ind w:firstLine="834"/>
        <w:spacing w:line="276" w:lineRule="auto"/>
      </w:pPr>
      <w:r>
        <w:rPr>
          <w:sz w:val="28"/>
        </w:rPr>
        <w:t xml:space="preserve">Videokonferensaloqa oʻrnatishning imkoni boʻlmaganligi deganda, ishni koʻrish jarayonida texnik nosozliklar, shuningdek elektr energiyasi yetkazib berilishidagi uzilishlarning yuzaga kelishi tushunilishi lozim.</w:t>
      </w:r>
    </w:p>
    <w:p>
      <w:pPr>
        <w:jc w:val="both"/>
        <w:ind w:firstLine="834"/>
        <w:spacing w:line="276" w:lineRule="auto"/>
      </w:pPr>
      <w:r>
        <w:rPr>
          <w:sz w:val="28"/>
        </w:rPr>
        <w:t xml:space="preserve">Videokonferensaloqa oʻrnatishning imkonini yoʻqotishga olib kelgan texnik nosozliklar va elektr energiyasini yetkazib berishdagi uzilishlar yuzaga kelganda, ishni koʻrayotgan sud ishni koʻrishni boshqa kunga qoldirishi lozim.</w:t>
      </w:r>
    </w:p>
    <w:p>
      <w:pPr>
        <w:jc w:val="both"/>
        <w:ind w:firstLine="834"/>
        <w:spacing w:line="276" w:lineRule="auto"/>
      </w:pPr>
      <w:r>
        <w:rPr>
          <w:sz w:val="28"/>
        </w:rPr>
        <w:t xml:space="preserve">Sud majlisi videokonferensaloqa oʻrnatish imkonining boʻlmaganligi sababli qoldirilganda, ishni koʻrayotgan sud boshqa aloqa vositasi orqali videokonferensaloqa rejimidagi sud majlisini oʻtkazishga koʻmaklashadigan sudning axborot-kommunikatsiya texnologiyalari boʻyicha xodimini, bu xodim esa, oʻz navbatida, sud majlisiga kelgan ishda ishtirok etuvchi shaxslarni yangi sud majlisining kuni va vaqti haqida tilxat orqali xabardor qiladi.</w:t>
      </w:r>
    </w:p>
    <w:p>
      <w:pPr>
        <w:jc w:val="both"/>
        <w:ind w:firstLine="834"/>
        <w:spacing w:line="276" w:lineRule="auto"/>
      </w:pPr>
      <w:r>
        <w:rPr>
          <w:sz w:val="28"/>
        </w:rPr>
        <w:t xml:space="preserve">Sudlar shuni hisobga olishlari kerakki, ishda ishtirok etuvchi taraflardan biri sud majlisini videokonferensaloqa rejimida oʻtkazishga koʻmaklashadigan sudga kelgan boʻlib, lekin ishni koʻrayotgan sud nizoni videokonferensaloqa oʻrnatishning imkoni boʻlmaganligi sababli oddiy rejimda mazmunan hal qilgan boʻlsa, bu holat ishni taraflardan birining ishtirokisiz koʻrishda ifodalangan protsessual huquq normalarining buzilishi sifatida baholanadi va sud hujjatini bekor qilishga asos boʻladi.</w:t>
      </w:r>
    </w:p>
    <w:p>
      <w:pPr>
        <w:jc w:val="both"/>
        <w:spacing w:line="276" w:lineRule="auto"/>
      </w:pPr>
      <w:r>
        <w:rPr>
          <w:sz w:val="28"/>
        </w:rPr>
        <w:t xml:space="preserve">Shu bilan birga, videokonferensaloqa rejimidagi sud majlisini oʻtkazishga koʻmaklashadigan sudga kelgan ishda ishtirok etuvchi shaxslarning ishni ularning ishtirokisiz koʻrishga yozma roziligi boʻlsa, sud ishni oddiy rejimda mazmunan koʻrishga haqli.</w:t>
      </w:r>
    </w:p>
    <w:p>
      <w:pPr>
        <w:jc w:val="both"/>
        <w:ind w:firstLine="684"/>
        <w:spacing w:line="276" w:lineRule="auto"/>
      </w:pPr>
      <w:r>
        <w:rPr>
          <w:sz w:val="28"/>
          <w:rFonts w:ascii="Times New Roman" w:hAnsi="Times New Roman"/>
        </w:rPr>
        <w:t xml:space="preserve">Qonunchilikda belgilangan yuqoridagi talablardan kelib chiqqan holda, </w:t>
      </w:r>
      <w:r>
        <w:rPr>
          <w:vanish w:val="false"/>
          <w:sz w:val="28"/>
          <w:rFonts w:ascii="Times New Roman" w:hAnsi="Times New Roman"/>
        </w:rPr>
        <w:fldChar w:fldCharType="begin"/>
        <w:instrText xml:space="preserve">X {"Y":7}</w:instrText>
        <w:fldChar w:fldCharType="separate"/>
        <w:t xml:space="preserve">Iqtisodiy ish ko‘rib chiqilishini kechiktirishni (boshqa kunga qoldirish) bo‘yicha iltimosnoma uchun asos</w:t>
      </w:r>
      <w:r>
        <w:rPr>
          <w:vanish w:val="false"/>
          <w:sz w:val="28"/>
          <w:rFonts w:ascii="Times New Roman" w:hAnsi="Times New Roman"/>
        </w:rPr>
        <w:fldChar w:fldCharType="end"/>
      </w:r>
      <w:r>
        <w:rPr>
          <w:sz w:val="28"/>
          <w:rFonts w:ascii="Times New Roman" w:hAnsi="Times New Roman"/>
        </w:rPr>
        <w:t xml:space="preserve"> sababli </w:t>
      </w:r>
      <w:r>
        <w:rPr>
          <w:vanish w:val="false"/>
          <w:sz w:val="28"/>
          <w:rFonts w:ascii="Times New Roman" w:hAnsi="Times New Roman"/>
        </w:rPr>
        <w:fldChar w:fldCharType="begin"/>
        <w:instrText xml:space="preserve">X {"Y":6}</w:instrText>
        <w:fldChar w:fldCharType="separate"/>
        <w:t xml:space="preserve">Iqtisodiy ish ko‘rib chiqiladigan muddat</w:t>
      </w:r>
      <w:r>
        <w:rPr>
          <w:vanish w:val="false"/>
          <w:sz w:val="28"/>
          <w:rFonts w:ascii="Times New Roman" w:hAnsi="Times New Roman"/>
        </w:rPr>
        <w:fldChar w:fldCharType="end"/>
      </w:r>
      <w:r>
        <w:rPr>
          <w:sz w:val="28"/>
          <w:rFonts w:ascii="Times New Roman" w:hAnsi="Times New Roman"/>
        </w:rPr>
        <w:t xml:space="preserve"> sanasida boʻlib oʻtadigan iqtisodiy ish koʻrib chiqilishini </w:t>
      </w:r>
      <w:r>
        <w:rPr>
          <w:vanish w:val="false"/>
          <w:sz w:val="28"/>
          <w:rFonts w:ascii="Times New Roman" w:hAnsi="Times New Roman"/>
        </w:rPr>
        <w:fldChar w:fldCharType="begin"/>
        <w:instrText xml:space="preserve">X {"Y":8}</w:instrText>
        <w:fldChar w:fldCharType="separate"/>
        <w:t xml:space="preserve">Kechiktirish (boshqa kunga qoldirish)ning muddati — ko‘pi bilan o‘n kunga qoldirilishi mumkin</w:t>
      </w:r>
      <w:r>
        <w:rPr>
          <w:vanish w:val="false"/>
          <w:sz w:val="28"/>
          <w:rFonts w:ascii="Times New Roman" w:hAnsi="Times New Roman"/>
        </w:rPr>
        <w:fldChar w:fldCharType="end"/>
      </w:r>
      <w:r>
        <w:rPr>
          <w:sz w:val="28"/>
          <w:rFonts w:ascii="Times New Roman" w:hAnsi="Times New Roman"/>
        </w:rPr>
        <w:t xml:space="preserve"> kunga kechiktirishni (boshqa kunga qoldirish)ni va bu boʻyicha ajrim chiqarishingizni soʻrayman.</w:t>
      </w:r>
    </w:p>
    <w:p>
      <w:pPr>
        <w:jc w:val="both"/>
        <w:ind w:firstLine="709"/>
        <w:spacing w:after="0" w:line="276" w:lineRule="auto"/>
        <w:rPr>
          <w:sz w:val="28"/>
          <w:rFonts w:ascii="Times New Roman" w:hAnsi="Times New Roman"/>
        </w:rPr>
      </w:pPr>
      <w:r>
        <w:rPr>
          <w:sz w:val="28"/>
        </w:rPr>
      </w:r>
    </w:p>
    <w:p>
      <w:pPr>
        <w:jc w:val="both"/>
        <w:ind w:firstLine="709"/>
        <w:spacing w:after="0" w:line="276" w:lineRule="auto"/>
        <w:rPr>
          <w:sz w:val="28"/>
          <w:rFonts w:ascii="Times New Roman" w:hAnsi="Times New Roman"/>
        </w:rPr>
      </w:pPr>
      <w:r>
        <w:rPr>
          <w:sz w:val="28"/>
          <w:rFonts w:ascii="Times New Roman" w:hAnsi="Times New Roman"/>
        </w:rPr>
        <w:t xml:space="preserve">Ilova: </w:t>
      </w:r>
      <w:r>
        <w:rPr>
          <w:vanish w:val="false"/>
          <w:sz w:val="28"/>
          <w:rFonts w:ascii="Times New Roman" w:hAnsi="Times New Roman"/>
        </w:rPr>
        <w:fldChar w:fldCharType="begin"/>
        <w:instrText xml:space="preserve">X {"Y":9}</w:instrText>
        <w:fldChar w:fldCharType="separate"/>
        <w:t xml:space="preserve">Iqtisodiy ish ko‘rib chiqilishini kechiktirishni (boshqa kunga qoldirish) uchun sabab bo‘lgan holatni asoslaydigan hujjatlarning nomlari</w:t>
      </w:r>
      <w:r>
        <w:rPr>
          <w:vanish w:val="false"/>
          <w:sz w:val="28"/>
          <w:rFonts w:ascii="Times New Roman" w:hAnsi="Times New Roman"/>
        </w:rPr>
        <w:fldChar w:fldCharType="end"/>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678"/>
        <w:gridCol w:w="728"/>
        <w:gridCol w:w="728"/>
        <w:gridCol w:w="729"/>
        <w:gridCol w:w="729"/>
        <w:gridCol w:w="729"/>
        <w:gridCol w:w="944"/>
        <w:gridCol w:w="729"/>
        <w:gridCol w:w="729"/>
        <w:gridCol w:w="1632"/>
      </w:tblGrid>
      <w:tr>
        <w:tc>
          <w:tcPr>
            <w:tcW w:w="957" w:type="dxa"/>
          </w:tcPr>
          <w:p>
            <w:pPr>
              <w:spacing w:line="276"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Arizachining F.I.Sh</w:t>
            </w:r>
            <w:r>
              <w:rPr>
                <w:vanish w:val="false"/>
                <w:sz w:val="28"/>
                <w:rFonts w:ascii="Times New Roman" w:hAnsi="Times New Roman"/>
              </w:rPr>
              <w:fldChar w:fldCharType="end"/>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Fonts w:ascii="Times New Roman" w:hAnsi="Times New Roman"/>
              </w:rPr>
              <w:t>_____</w:t>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8" w:type="dxa"/>
          </w:tcPr>
          <w:p>
            <w:pPr>
              <w:spacing w:line="276" w:lineRule="auto"/>
              <w:rPr>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Iltimosnoma imzolangan sana</w:t>
            </w:r>
            <w:r>
              <w:rPr>
                <w:vanish w:val="false"/>
                <w:sz w:val="28"/>
                <w:rFonts w:ascii="Times New Roman" w:hAnsi="Times New Roman"/>
              </w:rPr>
              <w:fldChar w:fldCharType="end"/>
            </w:r>
          </w:p>
        </w:tc>
      </w:tr>
      <w:tr>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Fonts w:ascii="Times New Roman" w:hAnsi="Times New Roman"/>
              </w:rPr>
              <w:t>Imzo</w:t>
            </w:r>
          </w:p>
        </w:tc>
        <w:tc>
          <w:tcPr>
            <w:tcW w:w="957" w:type="dxa"/>
          </w:tcPr>
          <w:p>
            <w:pPr>
              <w:spacing w:line="276" w:lineRule="auto"/>
              <w:rPr>
                <w:sz w:val="28"/>
                <w:rFonts w:ascii="Times New Roman" w:hAnsi="Times New Roman"/>
              </w:rPr>
            </w:pPr>
            <w:r>
              <w:rPr>
                <w:sz w:val="28"/>
              </w:rPr>
            </w:r>
          </w:p>
        </w:tc>
        <w:tc>
          <w:tcPr>
            <w:tcW w:w="957" w:type="dxa"/>
          </w:tcPr>
          <w:p>
            <w:pPr>
              <w:spacing w:line="276" w:lineRule="auto"/>
              <w:rPr>
                <w:sz w:val="28"/>
                <w:rFonts w:ascii="Times New Roman" w:hAnsi="Times New Roman"/>
              </w:rPr>
            </w:pPr>
            <w:r>
              <w:rPr>
                <w:sz w:val="28"/>
              </w:rPr>
            </w:r>
          </w:p>
        </w:tc>
        <w:tc>
          <w:tcPr>
            <w:tcW w:w="958" w:type="dxa"/>
          </w:tcPr>
          <w:p>
            <w:pPr>
              <w:spacing w:line="276" w:lineRule="auto"/>
              <w:rPr>
                <w:sz w:val="28"/>
                <w:rFonts w:ascii="Times New Roman" w:hAnsi="Times New Roman"/>
              </w:rPr>
            </w:pPr>
            <w:r>
              <w:rPr>
                <w:sz w:val="28"/>
              </w:rPr>
            </w:r>
          </w:p>
        </w:tc>
      </w:tr>
    </w:tbl>
    <w:p>
      <w:pPr>
        <w:spacing w:after="0" w:line="276" w:lineRule="auto"/>
        <w:rPr>
          <w:sz w:val="28"/>
          <w:rFonts w:ascii="Times New Roman" w:hAnsi="Times New Roman"/>
        </w:rPr>
      </w:pPr>
      <w:r>
        <w:rPr>
          <w:sz w:val="28"/>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5A1"/>
    <w:rsid w:val="0001731B"/>
    <w:rsid w:val="000527D5"/>
    <w:rsid w:val="00074FAD"/>
    <w:rsid w:val="000C00FD"/>
    <w:rsid w:val="002142F1"/>
    <w:rsid w:val="00237FD4"/>
    <w:rsid w:val="0030798E"/>
    <w:rsid w:val="00394329"/>
    <w:rsid w:val="003F5CBA"/>
    <w:rsid w:val="00483AA3"/>
    <w:rsid w:val="004B3FE4"/>
    <w:rsid w:val="00511F67"/>
    <w:rsid w:val="00524DBC"/>
    <w:rsid w:val="00533794"/>
    <w:rsid w:val="005661F9"/>
    <w:rsid w:val="005E09C0"/>
    <w:rsid w:val="005E1DF6"/>
    <w:rsid w:val="005F1D52"/>
    <w:rsid w:val="00602FC9"/>
    <w:rsid w:val="00681BD1"/>
    <w:rsid w:val="006A024C"/>
    <w:rsid w:val="0073728D"/>
    <w:rsid w:val="0077398C"/>
    <w:rsid w:val="0080305F"/>
    <w:rsid w:val="00836BF6"/>
    <w:rsid w:val="00941C6B"/>
    <w:rsid w:val="00961B9F"/>
    <w:rsid w:val="009F2BCE"/>
    <w:rsid w:val="00B328AB"/>
    <w:rsid w:val="00C305E5"/>
    <w:rsid w:val="00C459B1"/>
    <w:rsid w:val="00C5413D"/>
    <w:rsid w:val="00C74A19"/>
    <w:rsid w:val="00CC0023"/>
    <w:rsid w:val="00CC75A1"/>
    <w:rsid w:val="00DA4628"/>
    <w:rsid w:val="00DE4B37"/>
    <w:rsid w:val="00E32E8A"/>
    <w:rsid w:val="00E562F0"/>
    <w:rsid w:val="00EA38DC"/>
    <w:rsid w:val="00F06F11"/>
    <w:rsid w:val="00F10C40"/>
    <w:rsid w:val="00F20131"/>
    <w:rsid w:val="00F6648A"/>
    <w:rsid w:val="00F76353"/>
    <w:rsid w:val="00F83297"/>
    <w:rsid w:val="00F879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4AD062-5F12-4174-BB3C-65B6A405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28AB"/>
    <w:pPr>
      <w:ind w:left="720"/>
      <w:contextualSpacing/>
    </w:pPr>
  </w:style>
  <w:style w:type="table" w:styleId="a4">
    <w:name w:val="Table Grid"/>
    <w:basedOn w:val="a1"/>
    <w:uiPriority w:val="59"/>
    <w:rsid w:val="00DA4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702324">
      <w:bodyDiv w:val="1"/>
      <w:marLeft w:val="0"/>
      <w:marRight w:val="0"/>
      <w:marTop w:val="0"/>
      <w:marBottom w:val="0"/>
      <w:divBdr>
        <w:top w:val="none" w:sz="0" w:space="0" w:color="auto"/>
        <w:left w:val="none" w:sz="0" w:space="0" w:color="auto"/>
        <w:bottom w:val="none" w:sz="0" w:space="0" w:color="auto"/>
        <w:right w:val="none" w:sz="0" w:space="0" w:color="auto"/>
      </w:divBdr>
      <w:divsChild>
        <w:div w:id="885485257">
          <w:marLeft w:val="0"/>
          <w:marRight w:val="0"/>
          <w:marTop w:val="0"/>
          <w:marBottom w:val="150"/>
          <w:divBdr>
            <w:top w:val="none" w:sz="0" w:space="0" w:color="auto"/>
            <w:left w:val="none" w:sz="0" w:space="0" w:color="auto"/>
            <w:bottom w:val="none" w:sz="0" w:space="0" w:color="auto"/>
            <w:right w:val="none" w:sz="0" w:space="0" w:color="auto"/>
          </w:divBdr>
        </w:div>
        <w:div w:id="1121732086">
          <w:marLeft w:val="0"/>
          <w:marRight w:val="0"/>
          <w:marTop w:val="0"/>
          <w:marBottom w:val="150"/>
          <w:divBdr>
            <w:top w:val="none" w:sz="0" w:space="0" w:color="auto"/>
            <w:left w:val="none" w:sz="0" w:space="0" w:color="auto"/>
            <w:bottom w:val="none" w:sz="0" w:space="0" w:color="auto"/>
            <w:right w:val="none" w:sz="0" w:space="0" w:color="auto"/>
          </w:divBdr>
        </w:div>
        <w:div w:id="446974108">
          <w:marLeft w:val="0"/>
          <w:marRight w:val="0"/>
          <w:marTop w:val="0"/>
          <w:marBottom w:val="150"/>
          <w:divBdr>
            <w:top w:val="none" w:sz="0" w:space="0" w:color="auto"/>
            <w:left w:val="none" w:sz="0" w:space="0" w:color="auto"/>
            <w:bottom w:val="none" w:sz="0" w:space="0" w:color="auto"/>
            <w:right w:val="none" w:sz="0" w:space="0" w:color="auto"/>
          </w:divBdr>
        </w:div>
        <w:div w:id="776756709">
          <w:marLeft w:val="0"/>
          <w:marRight w:val="0"/>
          <w:marTop w:val="0"/>
          <w:marBottom w:val="150"/>
          <w:divBdr>
            <w:top w:val="none" w:sz="0" w:space="0" w:color="auto"/>
            <w:left w:val="none" w:sz="0" w:space="0" w:color="auto"/>
            <w:bottom w:val="none" w:sz="0" w:space="0" w:color="auto"/>
            <w:right w:val="none" w:sz="0" w:space="0" w:color="auto"/>
          </w:divBdr>
        </w:div>
        <w:div w:id="1287930932">
          <w:marLeft w:val="0"/>
          <w:marRight w:val="0"/>
          <w:marTop w:val="0"/>
          <w:marBottom w:val="150"/>
          <w:divBdr>
            <w:top w:val="none" w:sz="0" w:space="0" w:color="auto"/>
            <w:left w:val="none" w:sz="0" w:space="0" w:color="auto"/>
            <w:bottom w:val="none" w:sz="0" w:space="0" w:color="auto"/>
            <w:right w:val="none" w:sz="0" w:space="0" w:color="auto"/>
          </w:divBdr>
        </w:div>
        <w:div w:id="742025964">
          <w:marLeft w:val="0"/>
          <w:marRight w:val="0"/>
          <w:marTop w:val="0"/>
          <w:marBottom w:val="150"/>
          <w:divBdr>
            <w:top w:val="none" w:sz="0" w:space="0" w:color="auto"/>
            <w:left w:val="none" w:sz="0" w:space="0" w:color="auto"/>
            <w:bottom w:val="none" w:sz="0" w:space="0" w:color="auto"/>
            <w:right w:val="none" w:sz="0" w:space="0" w:color="auto"/>
          </w:divBdr>
        </w:div>
        <w:div w:id="97877190">
          <w:marLeft w:val="0"/>
          <w:marRight w:val="0"/>
          <w:marTop w:val="0"/>
          <w:marBottom w:val="150"/>
          <w:divBdr>
            <w:top w:val="none" w:sz="0" w:space="0" w:color="auto"/>
            <w:left w:val="none" w:sz="0" w:space="0" w:color="auto"/>
            <w:bottom w:val="none" w:sz="0" w:space="0" w:color="auto"/>
            <w:right w:val="none" w:sz="0" w:space="0" w:color="auto"/>
          </w:divBdr>
        </w:div>
        <w:div w:id="1516308174">
          <w:marLeft w:val="0"/>
          <w:marRight w:val="0"/>
          <w:marTop w:val="0"/>
          <w:marBottom w:val="150"/>
          <w:divBdr>
            <w:top w:val="none" w:sz="0" w:space="0" w:color="auto"/>
            <w:left w:val="none" w:sz="0" w:space="0" w:color="auto"/>
            <w:bottom w:val="none" w:sz="0" w:space="0" w:color="auto"/>
            <w:right w:val="none" w:sz="0" w:space="0" w:color="auto"/>
          </w:divBdr>
        </w:div>
        <w:div w:id="360667744">
          <w:marLeft w:val="0"/>
          <w:marRight w:val="0"/>
          <w:marTop w:val="0"/>
          <w:marBottom w:val="150"/>
          <w:divBdr>
            <w:top w:val="none" w:sz="0" w:space="0" w:color="auto"/>
            <w:left w:val="none" w:sz="0" w:space="0" w:color="auto"/>
            <w:bottom w:val="none" w:sz="0" w:space="0" w:color="auto"/>
            <w:right w:val="none" w:sz="0" w:space="0" w:color="auto"/>
          </w:divBdr>
        </w:div>
        <w:div w:id="949169434">
          <w:marLeft w:val="0"/>
          <w:marRight w:val="0"/>
          <w:marTop w:val="0"/>
          <w:marBottom w:val="150"/>
          <w:divBdr>
            <w:top w:val="none" w:sz="0" w:space="0" w:color="auto"/>
            <w:left w:val="none" w:sz="0" w:space="0" w:color="auto"/>
            <w:bottom w:val="none" w:sz="0" w:space="0" w:color="auto"/>
            <w:right w:val="none" w:sz="0" w:space="0" w:color="auto"/>
          </w:divBdr>
        </w:div>
        <w:div w:id="10867292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493</Words>
  <Characters>2815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Oss</dc:creator>
  <cp:lastModifiedBy>Shakarboy Goyibnazarov</cp:lastModifiedBy>
  <cp:revision>3</cp:revision>
  <dcterms:created xsi:type="dcterms:W3CDTF">2022-08-23T13:06:00Z</dcterms:created>
  <dcterms:modified xsi:type="dcterms:W3CDTF">2022-08-23T13:06:00Z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Iltimosnomaning rekvizitlari</w:name>
    <w:value w:hidden="true">
      <w:unit w:active="false"/>
    </w:value>
  </w:element>
  <w:element w:id="2" w:kind="variable" w:selector="check" w:type="string" w:valueMode="normal" w:required="false" w:groupID="1">
    <w:identifier xml:space="preserve">ID2</w:identifier>
    <w:name xml:space="preserve">Iqtisodiy ishlari bo‘yicha sudning nomi</w:name>
    <w:value w:hidden="false">
      <w:unit w:active="false"/>
    </w:value>
  </w:element>
  <w:element w:id="3" w:kind="variable" w:selector="check" w:type="string" w:valueMode="normal" w:required="false" w:groupID="1">
    <w:identifier xml:space="preserve">ID3</w:identifier>
    <w:name xml:space="preserve">Arizachining F.I.Sh</w:name>
    <w:value w:hidden="false">
      <w:unit w:active="false"/>
    </w:value>
  </w:element>
  <w:element w:id="4" w:kind="variable" w:selector="check" w:type="string" w:valueMode="normal" w:required="false" w:groupID="1">
    <w:identifier xml:space="preserve">ID4</w:identifier>
    <w:name xml:space="preserve">Iltimosnoma imzolangan sana</w:name>
    <w:value w:hidden="false">
      <w:unit w:active="false"/>
    </w:value>
  </w:element>
  <w:element w:id="5" w:kind="category" w:selector="check" w:type="string" w:valueMode="normal" w:required="false">
    <w:identifier xml:space="preserve">ID5</w:identifier>
    <w:name xml:space="preserve">Iltimosnoma mazmuni</w:name>
    <w:value w:hidden="true">
      <w:unit w:active="false"/>
    </w:value>
  </w:element>
  <w:element w:id="6" w:kind="variable" w:selector="check" w:type="string" w:valueMode="normal" w:required="false" w:groupID="5">
    <w:identifier xml:space="preserve">ID6</w:identifier>
    <w:name xml:space="preserve">Iqtisodiy ish ko‘rib chiqiladigan muddat</w:name>
    <w:value w:hidden="false">
      <w:unit w:active="false"/>
    </w:value>
  </w:element>
  <w:element w:id="7" w:kind="variable" w:selector="check" w:type="string" w:valueMode="normal" w:required="false" w:groupID="5">
    <w:identifier xml:space="preserve">ID7</w:identifier>
    <w:name xml:space="preserve">Iqtisodiy ish ko‘rib chiqilishini kechiktirishni (boshqa kunga qoldirish) bo‘yicha iltimosnoma uchun asos</w:name>
    <w:value w:hidden="false">
      <w:unit w:active="false"/>
    </w:value>
  </w:element>
  <w:element w:id="8" w:kind="variable" w:selector="check" w:type="string" w:valueMode="normal" w:required="false" w:groupID="5">
    <w:identifier xml:space="preserve">ID8</w:identifier>
    <w:name xml:space="preserve">Kechiktirish (boshqa kunga qoldirish)ning muddati — ko‘pi bilan o‘n kunga qoldirilishi mumkin</w:name>
    <w:value w:hidden="false">
      <w:unit w:active="false"/>
    </w:value>
  </w:element>
  <w:element w:id="9" w:kind="variable" w:selector="check" w:type="string" w:valueMode="normal" w:required="false" w:groupID="5">
    <w:identifier xml:space="preserve">ID9</w:identifier>
    <w:name xml:space="preserve">Iqtisodiy ish ko‘rib chiqilishini kechiktirishni (boshqa kunga qoldirish) uchun sabab bo‘lgan holatni asoslaydigan hujjatlarning nomlari</w:name>
    <w:value w:hidden="false">
      <w:unit w:active="false"/>
    </w:value>
  </w:element>
</w:structure>
</file>