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 Id="rId5" Type="http://yurxizmat.uz/officeDocument/2006/relationships/document-dataSources" Target="legal/dataSourc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ind w:left="5103"/>
        <w:spacing w:after="0"/>
        <w:rPr>
          <w:b/>
          <w:sz w:val="26"/>
          <w:rFonts w:ascii="Times New Roman" w:hAnsi="Times New Roman"/>
        </w:rPr>
      </w:pPr>
      <w:r>
        <w:rPr>
          <w:b/>
          <w:sz w:val="26"/>
          <w:rFonts w:ascii="Times New Roman" w:hAnsi="Times New Roman"/>
        </w:rPr>
        <w:t xml:space="preserve">Fuqarolik ishlari boʻyicha </w:t>
      </w:r>
      <w:r>
        <w:rPr>
          <w:b/>
          <w:vanish w:val="false"/>
          <w:sz w:val="26"/>
          <w:rFonts w:ascii="Times New Roman" w:hAnsi="Times New Roman"/>
        </w:rPr>
        <w:fldChar w:fldCharType="begin"/>
        <w:instrText xml:space="preserve">X {"Y":2}</w:instrText>
        <w:fldChar w:fldCharType="separate"/>
      </w:r>
      <w:r>
        <w:rPr>
          <w:b/>
          <w:vanish w:val="false"/>
          <w:sz w:val="26"/>
          <w:rFonts w:ascii="Times New Roman" w:hAnsi="Times New Roman"/>
        </w:rPr>
        <w:t xml:space="preserve">Fuqarolik ishlari bo‘yicha sudning nomi</w:t>
        <w:fldChar w:fldCharType="end"/>
      </w:r>
      <w:r>
        <w:rPr>
          <w:b/>
          <w:sz w:val="26"/>
          <w:rFonts w:ascii="Times New Roman" w:hAnsi="Times New Roman"/>
        </w:rPr>
        <w:t xml:space="preserve">ga </w:t>
      </w:r>
    </w:p>
    <w:p>
      <w:pPr>
        <w:jc w:val="center"/>
        <w:ind w:left="5103"/>
        <w:spacing w:after="0"/>
        <w:rPr>
          <w:sz w:val="26"/>
          <w:rFonts w:ascii="Times New Roman" w:hAnsi="Times New Roman"/>
        </w:rPr>
      </w:pPr>
    </w:p>
    <w:p>
      <w:pPr>
        <w:jc w:val="center"/>
        <w:ind w:left="5103"/>
        <w:spacing w:after="0"/>
        <w:rPr>
          <w:b/>
          <w:sz w:val="26"/>
          <w:rFonts w:ascii="Times New Roman" w:hAnsi="Times New Roman"/>
        </w:rPr>
      </w:pPr>
      <w:r>
        <w:rPr>
          <w:b/>
          <w:sz w:val="26"/>
          <w:rFonts w:ascii="Times New Roman" w:hAnsi="Times New Roman"/>
        </w:rPr>
        <w:t xml:space="preserve">Daʼvogar </w:t>
      </w:r>
      <w:r>
        <w:rPr>
          <w:b/>
          <w:vanish w:val="false"/>
          <w:sz w:val="26"/>
          <w:rFonts w:ascii="Times New Roman" w:hAnsi="Times New Roman"/>
        </w:rPr>
        <w:fldChar w:fldCharType="begin"/>
        <w:instrText xml:space="preserve">X {"Y":3}</w:instrText>
        <w:fldChar w:fldCharType="separate"/>
      </w:r>
      <w:r>
        <w:rPr>
          <w:b/>
          <w:vanish w:val="false"/>
          <w:sz w:val="26"/>
          <w:rFonts w:ascii="Times New Roman" w:hAnsi="Times New Roman"/>
        </w:rPr>
        <w:t xml:space="preserve">Da’vogarning F.I.Osi</w:t>
        <w:fldChar w:fldCharType="end"/>
      </w:r>
      <w:r>
        <w:rPr>
          <w:b/>
          <w:sz w:val="26"/>
          <w:rFonts w:ascii="Times New Roman" w:hAnsi="Times New Roman"/>
        </w:rPr>
        <w:t>dan</w:t>
      </w:r>
    </w:p>
    <w:p>
      <w:pPr>
        <w:jc w:val="center"/>
        <w:ind w:left="5103"/>
        <w:spacing w:after="0"/>
        <w:rPr>
          <w:sz w:val="26"/>
          <w:rFonts w:ascii="Times New Roman" w:hAnsi="Times New Roman"/>
        </w:rPr>
      </w:pPr>
      <w:r>
        <w:rPr>
          <w:sz w:val="26"/>
          <w:rFonts w:ascii="Times New Roman" w:hAnsi="Times New Roman"/>
        </w:rPr>
        <w:t xml:space="preserve">Manzil: </w:t>
      </w:r>
      <w:r>
        <w:rPr>
          <w:vanish w:val="false"/>
          <w:sz w:val="26"/>
          <w:rFonts w:ascii="Times New Roman" w:hAnsi="Times New Roman"/>
        </w:rPr>
        <w:fldChar w:fldCharType="begin"/>
        <w:instrText xml:space="preserve">X {"Y":4}</w:instrText>
        <w:fldChar w:fldCharType="separate"/>
      </w:r>
      <w:r>
        <w:rPr>
          <w:vanish w:val="false"/>
          <w:sz w:val="26"/>
          <w:rFonts w:ascii="Times New Roman" w:hAnsi="Times New Roman"/>
        </w:rPr>
        <w:t xml:space="preserve">Da’vogarning manzili</w:t>
        <w:fldChar w:fldCharType="end"/>
      </w:r>
    </w:p>
    <w:p>
      <w:pPr>
        <w:jc w:val="center"/>
        <w:ind w:left="5103"/>
        <w:spacing w:after="0"/>
        <w:rPr>
          <w:b/>
          <w:sz w:val="26"/>
          <w:rFonts w:ascii="Times New Roman" w:hAnsi="Times New Roman"/>
        </w:rPr>
      </w:pPr>
      <w:r>
        <w:rPr>
          <w:sz w:val="26"/>
          <w:rFonts w:ascii="Times New Roman" w:hAnsi="Times New Roman"/>
        </w:rPr>
        <w:t xml:space="preserve"> </w:t>
      </w:r>
    </w:p>
    <w:p>
      <w:pPr>
        <w:jc w:val="center"/>
        <w:ind w:left="5103"/>
        <w:spacing w:after="0"/>
        <w:rPr>
          <w:i/>
          <w:sz w:val="26"/>
          <w:rFonts w:ascii="Times New Roman" w:hAnsi="Times New Roman"/>
        </w:rPr>
      </w:pPr>
      <w:r>
        <w:rPr>
          <w:i/>
          <w:vanish w:val="false"/>
          <w:sz w:val="26"/>
          <w:rFonts w:ascii="Times New Roman" w:hAnsi="Times New Roman"/>
        </w:rPr>
        <w:fldChar w:fldCharType="begin"/>
        <w:instrText xml:space="preserve">X {"Y":5}</w:instrText>
        <w:fldChar w:fldCharType="separate"/>
      </w:r>
      <w:r>
        <w:rPr>
          <w:i/>
          <w:vanish w:val="false"/>
          <w:sz w:val="26"/>
          <w:rFonts w:ascii="Times New Roman" w:hAnsi="Times New Roman"/>
        </w:rPr>
        <w:t xml:space="preserve">Hal qiluv qarori raqami</w:t>
        <w:fldChar w:fldCharType="end"/>
      </w:r>
      <w:r>
        <w:rPr>
          <w:i/>
          <w:sz w:val="26"/>
          <w:rFonts w:ascii="Times New Roman" w:hAnsi="Times New Roman"/>
        </w:rPr>
        <w:t xml:space="preserve">-sonli ish yuzasidan</w:t>
      </w:r>
    </w:p>
    <w:p>
      <w:pPr>
        <w:jc w:val="center"/>
        <w:ind w:firstLine="1134"/>
        <w:spacing w:after="0"/>
        <w:rPr>
          <w:b/>
          <w:sz w:val="26"/>
          <w:rFonts w:ascii="Times New Roman" w:hAnsi="Times New Roman"/>
        </w:rPr>
      </w:pPr>
      <w:r>
        <w:rPr>
          <w:b/>
          <w:sz w:val="26"/>
          <w:rFonts w:ascii="Times New Roman" w:hAnsi="Times New Roman"/>
        </w:rPr>
        <w:t>ARIZA</w:t>
      </w:r>
    </w:p>
    <w:p>
      <w:pPr>
        <w:jc w:val="center"/>
        <w:ind w:firstLine="1134"/>
        <w:spacing w:after="0"/>
        <w:rPr>
          <w:b/>
          <w:sz w:val="26"/>
          <w:rFonts w:ascii="Times New Roman" w:hAnsi="Times New Roman"/>
        </w:rPr>
      </w:pPr>
      <w:r>
        <w:rPr>
          <w:b/>
          <w:sz w:val="26"/>
          <w:rFonts w:ascii="Times New Roman" w:hAnsi="Times New Roman"/>
        </w:rPr>
        <w:t xml:space="preserve">(Ish yuritishni tugatish haqida)</w:t>
      </w:r>
    </w:p>
    <w:p>
      <w:pPr>
        <w:jc w:val="center"/>
        <w:ind w:firstLine="1134"/>
        <w:spacing w:after="0"/>
        <w:rPr>
          <w:b/>
          <w:sz w:val="26"/>
          <w:rFonts w:ascii="Times New Roman" w:hAnsi="Times New Roman"/>
        </w:rPr>
      </w:pPr>
    </w:p>
    <w:p>
      <w:pPr>
        <w:jc w:val="both"/>
        <w:ind w:left="-284" w:firstLine="1134"/>
        <w:spacing w:after="0"/>
        <w:rPr>
          <w:sz w:val="26"/>
          <w:rFonts w:ascii="Times New Roman" w:hAnsi="Times New Roman"/>
        </w:rPr>
      </w:pPr>
      <w:r>
        <w:rPr>
          <w:sz w:val="26"/>
          <w:rFonts w:ascii="Times New Roman" w:hAnsi="Times New Roman"/>
        </w:rPr>
        <w:t xml:space="preserve">Fuqarolik ishlari boʻyicha </w:t>
      </w:r>
      <w:r>
        <w:rPr>
          <w:vanish w:val="false"/>
          <w:sz w:val="26"/>
          <w:rFonts w:ascii="Times New Roman" w:hAnsi="Times New Roman"/>
        </w:rPr>
        <w:fldChar w:fldCharType="begin"/>
        <w:instrText xml:space="preserve">X {"Y":8}</w:instrText>
        <w:fldChar w:fldCharType="separate"/>
      </w:r>
      <w:r>
        <w:rPr>
          <w:vanish w:val="false"/>
          <w:sz w:val="26"/>
          <w:rFonts w:ascii="Times New Roman" w:hAnsi="Times New Roman"/>
        </w:rPr>
        <w:t xml:space="preserve">Hal qiluv qarori chiqargan sudning nomi</w:t>
        <w:fldChar w:fldCharType="end"/>
      </w:r>
      <w:r>
        <w:rPr>
          <w:sz w:val="26"/>
          <w:rFonts w:ascii="Times New Roman" w:hAnsi="Times New Roman"/>
        </w:rPr>
        <w:t xml:space="preserve"> sudining </w:t>
      </w:r>
      <w:r>
        <w:rPr>
          <w:vanish w:val="false"/>
          <w:sz w:val="26"/>
          <w:rFonts w:ascii="Times New Roman" w:hAnsi="Times New Roman"/>
        </w:rPr>
        <w:fldChar w:fldCharType="begin"/>
        <w:instrText xml:space="preserve">X {"Y":9}</w:instrText>
        <w:fldChar w:fldCharType="separate"/>
      </w:r>
      <w:r>
        <w:rPr>
          <w:vanish w:val="false"/>
          <w:sz w:val="26"/>
          <w:rFonts w:ascii="Times New Roman" w:hAnsi="Times New Roman"/>
        </w:rPr>
        <w:t xml:space="preserve">Hal qiluv qarori chiqarilgan sana</w:t>
        <w:fldChar w:fldCharType="end"/>
      </w:r>
      <w:r>
        <w:rPr>
          <w:sz w:val="26"/>
          <w:rFonts w:ascii="Times New Roman" w:hAnsi="Times New Roman"/>
        </w:rPr>
        <w:t xml:space="preserve">dagi hal qiluv qaroriga asosan meni </w:t>
      </w:r>
      <w:r>
        <w:rPr>
          <w:vanish w:val="false"/>
          <w:sz w:val="26"/>
          <w:rFonts w:ascii="Times New Roman" w:hAnsi="Times New Roman"/>
        </w:rPr>
        <w:fldChar w:fldCharType="begin"/>
        <w:instrText xml:space="preserve">X {"Y":10}</w:instrText>
        <w:fldChar w:fldCharType="separate"/>
      </w:r>
      <w:r>
        <w:rPr>
          <w:vanish w:val="false"/>
          <w:sz w:val="26"/>
          <w:rFonts w:ascii="Times New Roman" w:hAnsi="Times New Roman"/>
        </w:rPr>
        <w:t xml:space="preserve">Javobgar tashkilotning nomi</w:t>
        <w:fldChar w:fldCharType="end"/>
      </w:r>
      <w:r>
        <w:rPr>
          <w:sz w:val="26"/>
          <w:rFonts w:ascii="Times New Roman" w:hAnsi="Times New Roman"/>
        </w:rPr>
        <w:t xml:space="preserve">ning </w:t>
      </w:r>
      <w:r>
        <w:rPr>
          <w:vanish w:val="false"/>
          <w:sz w:val="26"/>
          <w:rFonts w:ascii="Times New Roman" w:hAnsi="Times New Roman"/>
        </w:rPr>
        <w:fldChar w:fldCharType="begin"/>
        <w:instrText xml:space="preserve">X {"Y":11}</w:instrText>
        <w:fldChar w:fldCharType="separate"/>
      </w:r>
      <w:r>
        <w:rPr>
          <w:vanish w:val="false"/>
          <w:sz w:val="26"/>
          <w:rFonts w:ascii="Times New Roman" w:hAnsi="Times New Roman"/>
        </w:rPr>
        <w:t xml:space="preserve">Da’vogar tiklanishi nazarda tutilgan lavozim</w:t>
        <w:fldChar w:fldCharType="end"/>
      </w:r>
      <w:r>
        <w:rPr>
          <w:sz w:val="26"/>
          <w:rFonts w:ascii="Times New Roman" w:hAnsi="Times New Roman"/>
        </w:rPr>
        <w:t xml:space="preserve"> lavozimiga ishga tiklanishim belgilangan.</w:t>
      </w:r>
    </w:p>
    <w:p>
      <w:pPr>
        <w:jc w:val="both"/>
        <w:ind w:left="-284" w:firstLine="1134"/>
        <w:spacing w:after="0"/>
        <w:rPr>
          <w:sz w:val="26"/>
          <w:rFonts w:ascii="Times New Roman" w:hAnsi="Times New Roman"/>
        </w:rPr>
      </w:pPr>
      <w:r>
        <w:rPr>
          <w:sz w:val="26"/>
          <w:rFonts w:ascii="Times New Roman" w:hAnsi="Times New Roman"/>
        </w:rPr>
        <w:t xml:space="preserve">Biroq, javobgar tomonidan meni sud qarorida koʻrsatilgan lavozimiga emas, balki boshqa lavozimga tiklash haqida buyruq chiqarilgan.</w:t>
      </w:r>
    </w:p>
    <w:p>
      <w:pPr>
        <w:jc w:val="both"/>
        <w:ind w:left="-284" w:firstLine="1134"/>
        <w:spacing w:after="0"/>
        <w:rPr>
          <w:sz w:val="26"/>
          <w:rFonts w:ascii="Times New Roman" w:hAnsi="Times New Roman"/>
        </w:rPr>
      </w:pPr>
      <w:r>
        <w:rPr>
          <w:sz w:val="26"/>
          <w:rFonts w:ascii="Times New Roman" w:hAnsi="Times New Roman"/>
        </w:rPr>
        <w:t xml:space="preserve">Yuqoridagilardan koʻrinadiki, javobgar sudining hal qiluv qarorini va ijro varaqasini ijro qilmagan. Shunga koʻra, javobgar kassatsiya shikoyati berishdan avval sudning ishga tiklash haqidagi hal qiluv qarori ijrosini taʼminlamagan.</w:t>
      </w:r>
    </w:p>
    <w:p>
      <w:pPr>
        <w:jc w:val="both"/>
        <w:ind w:left="-284" w:firstLine="1134"/>
        <w:spacing w:after="0"/>
        <w:rPr>
          <w:sz w:val="26"/>
          <w:rFonts w:ascii="Times New Roman" w:hAnsi="Times New Roman"/>
        </w:rPr>
      </w:pPr>
      <w:r>
        <w:rPr>
          <w:sz w:val="26"/>
          <w:rFonts w:ascii="Times New Roman" w:hAnsi="Times New Roman"/>
        </w:rPr>
        <w:t xml:space="preserve">Oʻzbekiston Respublikasi Fuqarolik protsessual kodeksining 407-moddasida “xodim bilan tuzilgan mehnat shartnomasi gʻayriqonuniy ravishda bekor qilinganda yoki xodim bir ishdan boshqa ishga gʻayriqonuniy ravishda oʻtkazilganida uni ilgarigi ishiga tiklash toʻgʻrisidagi sudning hal qiluv qarori ustidan kassatsiya shikoyati (protesti) ushbu qarorning ijrosiga doir hujjat ilova qilingan taqdirdagina qabul qilinadi” deyilgan.</w:t>
      </w:r>
    </w:p>
    <w:p>
      <w:pPr>
        <w:jc w:val="both"/>
        <w:ind w:left="-284" w:firstLine="1134"/>
        <w:spacing w:after="0"/>
        <w:rPr>
          <w:sz w:val="26"/>
          <w:rFonts w:ascii="Times New Roman" w:hAnsi="Times New Roman"/>
        </w:rPr>
      </w:pPr>
      <w:r>
        <w:rPr>
          <w:sz w:val="26"/>
          <w:rFonts w:ascii="Times New Roman" w:hAnsi="Times New Roman"/>
        </w:rPr>
        <w:t xml:space="preserve">Demak, javobgarning kassatsiya shikoyati sud tomonidan xatolik bilan ish yurituvga qabul qilingan.</w:t>
      </w:r>
    </w:p>
    <w:p>
      <w:pPr>
        <w:jc w:val="both"/>
        <w:ind w:left="-284" w:firstLine="1134"/>
        <w:spacing w:after="0"/>
        <w:rPr>
          <w:sz w:val="26"/>
          <w:rFonts w:ascii="Times New Roman" w:hAnsi="Times New Roman"/>
        </w:rPr>
      </w:pPr>
      <w:r>
        <w:rPr>
          <w:sz w:val="26"/>
          <w:rFonts w:ascii="Times New Roman" w:hAnsi="Times New Roman"/>
        </w:rPr>
        <w:t xml:space="preserve">FPKning 407</w:t>
      </w:r>
      <w:r>
        <w:rPr>
          <w:sz w:val="26"/>
          <w:rFonts w:ascii="Times New Roman" w:hAnsi="Times New Roman"/>
          <w:vertAlign w:val="superscript"/>
        </w:rPr>
        <w:t>9</w:t>
      </w:r>
      <w:r>
        <w:rPr>
          <w:sz w:val="26"/>
          <w:rFonts w:ascii="Times New Roman" w:hAnsi="Times New Roman"/>
        </w:rPr>
        <w:t xml:space="preserve">-moddasi birinchi qismi 1-bandiga asosan kassatsiya shikoyati (protesti) apellyatsiya tartibida koʻrilmagan yoki ushbu Kodeksga muvofiq kassatsiya tartibida shikoyat qilinmaydigan (protest keltirilmaydigan) sud hujjati ustidan berilgan va u ish yuritishga xatoga yoʻl qoʻyilib qabul qilingan boʻlsa kassatsiya shikoyati boʻyicha ish yuritish tugallanishi kerak.</w:t>
      </w:r>
    </w:p>
    <w:p>
      <w:pPr>
        <w:jc w:val="both"/>
        <w:ind w:left="-284" w:firstLine="1134"/>
        <w:spacing w:after="0"/>
        <w:rPr>
          <w:sz w:val="26"/>
          <w:rFonts w:ascii="Times New Roman" w:hAnsi="Times New Roman"/>
        </w:rPr>
      </w:pPr>
      <w:r>
        <w:rPr>
          <w:sz w:val="26"/>
          <w:rFonts w:ascii="Times New Roman" w:hAnsi="Times New Roman"/>
        </w:rPr>
        <w:t xml:space="preserve">Yuqoridagilarga asoslanib, </w:t>
      </w:r>
      <w:r>
        <w:rPr>
          <w:vanish w:val="false"/>
          <w:sz w:val="26"/>
          <w:rFonts w:ascii="Times New Roman" w:hAnsi="Times New Roman"/>
        </w:rPr>
        <w:fldChar w:fldCharType="begin"/>
        <w:instrText xml:space="preserve">X {"Y":5}</w:instrText>
        <w:fldChar w:fldCharType="separate"/>
      </w:r>
      <w:r>
        <w:rPr>
          <w:vanish w:val="false"/>
          <w:sz w:val="26"/>
          <w:rFonts w:ascii="Times New Roman" w:hAnsi="Times New Roman"/>
        </w:rPr>
        <w:t xml:space="preserve">Hal qiluv qarori raqami</w:t>
        <w:fldChar w:fldCharType="end"/>
      </w:r>
      <w:r>
        <w:rPr>
          <w:sz w:val="26"/>
          <w:rFonts w:ascii="Times New Roman" w:hAnsi="Times New Roman"/>
        </w:rPr>
        <w:t xml:space="preserve">-sonli ish yuzasidan kiritilgan kassatsiya shikoyati boʻyicha ish yurituvga qabul qilingan fuqarolik ishi yuritishni tugatilishini soʻrayman.</w:t>
      </w:r>
    </w:p>
    <w:p>
      <w:pPr>
        <w:jc w:val="both"/>
        <w:ind w:left="-284" w:firstLine="1134"/>
        <w:spacing w:after="0"/>
        <w:rPr>
          <w:b/>
          <w:sz w:val="26"/>
          <w:rFonts w:ascii="Times New Roman" w:hAnsi="Times New Roman"/>
        </w:rPr>
      </w:pPr>
    </w:p>
    <w:p>
      <w:pPr>
        <w:jc w:val="both"/>
        <w:ind w:left="-284" w:firstLine="1134"/>
        <w:spacing w:after="0"/>
        <w:rPr>
          <w:b/>
          <w:sz w:val="26"/>
          <w:rFonts w:ascii="Times New Roman" w:hAnsi="Times New Roman"/>
        </w:rPr>
      </w:pPr>
      <w:r>
        <w:rPr>
          <w:b/>
          <w:vanish w:val="false"/>
          <w:sz w:val="26"/>
          <w:rFonts w:ascii="Times New Roman" w:hAnsi="Times New Roman"/>
        </w:rPr>
        <w:fldChar w:fldCharType="begin"/>
        <w:instrText xml:space="preserve">X {"Y":3}</w:instrText>
        <w:fldChar w:fldCharType="separate"/>
      </w:r>
      <w:r>
        <w:rPr>
          <w:b/>
          <w:vanish w:val="false"/>
          <w:sz w:val="26"/>
          <w:rFonts w:ascii="Times New Roman" w:hAnsi="Times New Roman"/>
        </w:rPr>
        <w:t xml:space="preserve">Da’vogarning F.I.Osi</w:t>
        <w:fldChar w:fldCharType="end"/>
      </w:r>
      <w:r>
        <w:rPr>
          <w:b/>
          <w:sz w:val="26"/>
          <w:rFonts w:ascii="Times New Roman" w:hAnsi="Times New Roman"/>
        </w:rPr>
        <w:t xml:space="preserve">                                                    </w:t>
      </w:r>
      <w:r>
        <w:rPr>
          <w:b/>
          <w:vanish w:val="false"/>
          <w:sz w:val="26"/>
          <w:rFonts w:ascii="Times New Roman" w:hAnsi="Times New Roman"/>
        </w:rPr>
        <w:fldChar w:fldCharType="begin"/>
        <w:instrText xml:space="preserve">X {"Y":6}</w:instrText>
        <w:fldChar w:fldCharType="separate"/>
      </w:r>
      <w:r>
        <w:rPr>
          <w:b/>
          <w:vanish w:val="false"/>
          <w:sz w:val="26"/>
          <w:rFonts w:ascii="Times New Roman" w:hAnsi="Times New Roman"/>
        </w:rPr>
        <w:t xml:space="preserve">Ariza berilgan sana</w:t>
        <w:fldChar w:fldCharType="end"/>
      </w:r>
    </w:p>
    <w:p>
      <w:pPr>
        <w:jc w:val="both"/>
        <w:ind w:left="-284" w:firstLine="1134"/>
        <w:spacing w:after="0"/>
        <w:rPr>
          <w:b/>
          <w:sz w:val="26"/>
          <w:rFonts w:ascii="Times New Roman" w:hAnsi="Times New Roman"/>
        </w:rPr>
      </w:pPr>
    </w:p>
    <w:p>
      <w:pPr>
        <w:jc w:val="both"/>
        <w:ind w:left="-284" w:firstLine="1134"/>
        <w:spacing w:after="0"/>
        <w:rPr>
          <w:b/>
          <w:sz w:val="26"/>
          <w:rFonts w:ascii="Times New Roman" w:hAnsi="Times New Roman"/>
        </w:rPr>
      </w:pPr>
      <w:r>
        <w:rPr>
          <w:b/>
          <w:sz w:val="26"/>
          <w:rFonts w:ascii="Times New Roman" w:hAnsi="Times New Roman"/>
        </w:rPr>
      </w:r>
    </w:p>
    <w:sectPr>
      <w:pgSz w:w="11906" w:h="16838"/>
      <w:pgMar w:left="1701" w:right="850" w:top="709" w:bottom="709"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D4009D"/>
    <w:multiLevelType w:val="hybridMultilevel"/>
    <w:tmpl w:val="EE688C48"/>
    <w:lvl w:ilvl="0" w:tplc="6D561092">
      <w:start w:val="1"/>
      <w:numFmt w:val="decimal"/>
      <w:lvlText w:val="%1."/>
      <w:lvlJc w:val="left"/>
      <w:pPr>
        <w:ind w:left="1210" w:hanging="360"/>
      </w:pPr>
      <w:rPr>
        <w:rFonts w:hint="default"/>
      </w:r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3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C16"/>
    <w:rsid w:val="000E3908"/>
    <w:rsid w:val="00117C16"/>
    <w:rsid w:val="001F15A3"/>
    <w:rsid w:val="00221B0E"/>
    <w:rsid w:val="002551DC"/>
    <w:rsid w:val="00457DC3"/>
    <w:rsid w:val="004B1103"/>
    <w:rsid w:val="00503D32"/>
    <w:rsid w:val="00754B10"/>
    <w:rsid w:val="008A69A8"/>
    <w:rsid w:val="008C2082"/>
    <w:rsid w:val="00A24FEA"/>
    <w:rsid w:val="00AC7E52"/>
    <w:rsid w:val="00D01EF4"/>
    <w:rsid w:val="00D45642"/>
    <w:rsid w:val="00F114FD"/>
    <w:rsid w:val="00F24DEC"/>
    <w:rsid w:val="00FC71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D8742"/>
  <w15:chartTrackingRefBased/>
  <w15:docId w15:val="{E5366C03-C277-4E54-870F-003A5655E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7C1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lauseprfx">
    <w:name w:val="clauseprfx"/>
    <w:basedOn w:val="a0"/>
    <w:rsid w:val="00D01EF4"/>
  </w:style>
  <w:style w:type="character" w:customStyle="1" w:styleId="clausesuff">
    <w:name w:val="clausesuff"/>
    <w:basedOn w:val="a0"/>
    <w:rsid w:val="00D01EF4"/>
  </w:style>
  <w:style w:type="paragraph" w:styleId="a3">
    <w:name w:val="List Paragraph"/>
    <w:basedOn w:val="a"/>
    <w:uiPriority w:val="34"/>
    <w:qFormat/>
    <w:rsid w:val="00FC71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496701">
      <w:bodyDiv w:val="1"/>
      <w:marLeft w:val="0"/>
      <w:marRight w:val="0"/>
      <w:marTop w:val="0"/>
      <w:marBottom w:val="0"/>
      <w:divBdr>
        <w:top w:val="none" w:sz="0" w:space="0" w:color="auto"/>
        <w:left w:val="none" w:sz="0" w:space="0" w:color="auto"/>
        <w:bottom w:val="none" w:sz="0" w:space="0" w:color="auto"/>
        <w:right w:val="none" w:sz="0" w:space="0" w:color="auto"/>
      </w:divBdr>
      <w:divsChild>
        <w:div w:id="1028989999">
          <w:marLeft w:val="0"/>
          <w:marRight w:val="0"/>
          <w:marTop w:val="120"/>
          <w:marBottom w:val="120"/>
          <w:divBdr>
            <w:top w:val="none" w:sz="0" w:space="0" w:color="auto"/>
            <w:left w:val="none" w:sz="0" w:space="0" w:color="auto"/>
            <w:bottom w:val="none" w:sz="0" w:space="0" w:color="auto"/>
            <w:right w:val="none" w:sz="0" w:space="0" w:color="auto"/>
          </w:divBdr>
        </w:div>
        <w:div w:id="628243395">
          <w:marLeft w:val="0"/>
          <w:marRight w:val="0"/>
          <w:marTop w:val="0"/>
          <w:marBottom w:val="150"/>
          <w:divBdr>
            <w:top w:val="none" w:sz="0" w:space="0" w:color="auto"/>
            <w:left w:val="none" w:sz="0" w:space="0" w:color="auto"/>
            <w:bottom w:val="none" w:sz="0" w:space="0" w:color="auto"/>
            <w:right w:val="none" w:sz="0" w:space="0" w:color="auto"/>
          </w:divBdr>
        </w:div>
        <w:div w:id="944576371">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338</Words>
  <Characters>1933</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Dilorom Matkarimova</cp:lastModifiedBy>
  <cp:revision>2</cp:revision>
  <dcterms:created xsi:type="dcterms:W3CDTF">2025-01-31T05:50:00Z</dcterms:created>
  <dcterms:modified xsi:type="dcterms:W3CDTF">2025-01-31T05:50:00Z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Ariza rekvizitlari</w:name>
    <w:value w:hidden="true">
      <w:unit w:active="false"/>
    </w:value>
  </w:element>
  <w:element w:id="2" w:kind="variable" w:type="string" w:valueMode="normal" w:required="false" w:groupID="1">
    <w:identifier xml:space="preserve">ID2</w:identifier>
    <w:name xml:space="preserve">Fuqarolik ishlari bo‘yicha sudning nomi</w:name>
    <w:value w:hidden="false">
      <w:unit w:active="false"/>
      <w:binding w:dataSource="1" w:column="court_name" w:search="false"/>
    </w:value>
  </w:element>
  <w:element w:id="3" w:kind="variable" w:type="string" w:valueMode="normal" w:required="false" w:groupID="1">
    <w:identifier xml:space="preserve">ID3</w:identifier>
    <w:name xml:space="preserve">Da’vogarning F.I.Osi</w:name>
    <w:value w:hidden="false">
      <w:unit w:active="false"/>
    </w:value>
  </w:element>
  <w:element w:id="4" w:kind="variable" w:type="string" w:valueMode="normal" w:required="false" w:groupID="1">
    <w:identifier xml:space="preserve">ID4</w:identifier>
    <w:name xml:space="preserve">Da’vogarning manzili</w:name>
    <w:value w:hidden="false">
      <w:unit w:active="false"/>
    </w:value>
  </w:element>
  <w:element w:id="5" w:kind="variable" w:type="string" w:valueMode="normal" w:required="false" w:groupID="1">
    <w:identifier xml:space="preserve">ID5</w:identifier>
    <w:name xml:space="preserve">Hal qiluv qarori raqami</w:name>
    <w:value w:hidden="false">
      <w:unit w:active="false"/>
    </w:value>
  </w:element>
  <w:element w:id="6" w:kind="variable" w:type="string" w:valueMode="normal" w:required="false" w:groupID="1">
    <w:identifier xml:space="preserve">ID6</w:identifier>
    <w:name xml:space="preserve">Ariza berilgan sana</w:name>
    <w:value w:hidden="false">
      <w:unit w:active="false"/>
    </w:value>
  </w:element>
  <w:element w:id="7" w:kind="category" w:type="string" w:valueMode="normal" w:required="false" w:groupID="7">
    <w:identifier xml:space="preserve">ID7</w:identifier>
    <w:name xml:space="preserve">Ariza mazmuni</w:name>
    <w:value w:hidden="true">
      <w:unit w:active="false"/>
    </w:value>
  </w:element>
  <w:element w:id="8" w:kind="variable" w:type="string" w:valueMode="normal" w:required="false">
    <w:identifier xml:space="preserve">ID8</w:identifier>
    <w:name xml:space="preserve">Hal qiluv qarori chiqargan sudning nomi</w:name>
    <w:value w:hidden="false">
      <w:unit w:active="false"/>
    </w:value>
  </w:element>
  <w:element w:id="9" w:kind="variable" w:type="string" w:valueMode="normal" w:required="false">
    <w:identifier xml:space="preserve">ID9</w:identifier>
    <w:name xml:space="preserve">Hal qiluv qarori chiqarilgan sana</w:name>
    <w:value w:hidden="false">
      <w:unit w:active="false"/>
    </w:value>
  </w:element>
  <w:element w:id="10" w:kind="variable" w:type="string" w:valueMode="normal" w:required="false">
    <w:identifier xml:space="preserve">ID10</w:identifier>
    <w:name xml:space="preserve">Javobgar tashkilotning nomi</w:name>
    <w:value w:hidden="false">
      <w:unit w:active="false"/>
    </w:value>
  </w:element>
  <w:element w:id="11" w:kind="variable" w:type="string" w:valueMode="normal" w:required="false">
    <w:identifier xml:space="preserve">ID11</w:identifier>
    <w:name xml:space="preserve">Da’vogar tiklanishi nazarda tutilgan lavozim</w:name>
    <w:value w:hidden="false">
      <w:unit w:active="false"/>
    </w:value>
  </w:element>
</w:structure>
</file>