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476"/>
        <w:gridCol w:w="4879"/>
      </w:tblGrid>
      <w:tr>
        <w:tc>
          <w:tcPr>
            <w:tcW w:w="4691" w:type="dxa"/>
            <w:shd w:fill="auto"/>
          </w:tcPr>
          <w:p>
            <w:pPr>
              <w:spacing w:after="0"/>
              <w:rPr>
                <w:sz w:val="28"/>
                <w:rFonts w:ascii="Times New Roman" w:hAnsi="Times New Roman"/>
              </w:rPr>
            </w:pPr>
            <w:r>
              <w:rPr>
                <w:color w:val="000000"/>
                <w:sz w:val="28"/>
                <w:rFonts w:ascii="Times New Roman" w:hAnsi="Times New Roman"/>
              </w:rPr>
              <w:t xml:space="preserve">                      </w:t>
            </w:r>
          </w:p>
        </w:tc>
        <w:tc>
          <w:tcPr>
            <w:tcW w:w="4880" w:type="dxa"/>
            <w:shd w:fill="auto"/>
          </w:tcPr>
          <w:p>
            <w:pPr>
              <w:jc w:val="both"/>
              <w:spacing w:after="0"/>
              <w:rPr>
                <w:b/>
                <w:sz w:val="28"/>
                <w:rFonts w:ascii="Times New Roman" w:hAnsi="Times New Roman"/>
              </w:rPr>
            </w:pPr>
            <w:r>
              <w:rPr>
                <w:b/>
                <w:sz w:val="28"/>
                <w:rFonts w:ascii="Times New Roman" w:hAnsi="Times New Roman"/>
              </w:rPr>
              <w:t xml:space="preserve">Fuqarolik ishlar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p>
            <w:pPr>
              <w:spacing w:after="0"/>
              <w:rPr>
                <w:sz w:val="28"/>
                <w:rFonts w:ascii="Times New Roman" w:hAnsi="Times New Roman"/>
              </w:rPr>
            </w:pP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 beruvchining manzili</w:t>
              <w:fldChar w:fldCharType="end"/>
            </w:r>
            <w:r>
              <w:rPr>
                <w:sz w:val="28"/>
                <w:rFonts w:ascii="Times New Roman" w:hAnsi="Times New Roman"/>
              </w:rPr>
              <w:t xml:space="preserve">da yashovchi</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 shaxsning F.I.Sh.i </w:t>
              <w:fldChar w:fldCharType="end"/>
            </w:r>
            <w:r>
              <w:rPr>
                <w:sz w:val="28"/>
                <w:rFonts w:ascii="Times New Roman" w:hAnsi="Times New Roman"/>
              </w:rPr>
              <w:t>dan</w:t>
            </w:r>
          </w:p>
        </w:tc>
      </w:tr>
    </w:tbl>
    <w:p>
      <w:pPr>
        <w:pStyle w:val="a3"/>
        <w:jc w:val="center"/>
        <w:spacing w:after="0"/>
        <w:rPr>
          <w:b/>
          <w:sz w:val="28"/>
          <w:rFonts w:ascii="Times New Roman" w:hAnsi="Times New Roman"/>
        </w:rPr>
      </w:pPr>
    </w:p>
    <w:p>
      <w:pPr>
        <w:jc w:val="center"/>
        <w:spacing w:after="0"/>
        <w:rPr>
          <w:sz w:val="28"/>
          <w:rFonts w:ascii="Times New Roman" w:hAnsi="Times New Roman"/>
        </w:rPr>
      </w:pPr>
      <w:r>
        <w:rPr>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Fuqarolik ish boʻyicha ish yuritishni tugatish toʻgʻrisida</w:t>
      </w:r>
    </w:p>
    <w:p>
      <w:pPr>
        <w:pStyle w:val="a3"/>
        <w:jc w:val="center"/>
        <w:ind w:firstLine="900"/>
        <w:spacing w:after="0"/>
        <w:rPr>
          <w:sz w:val="28"/>
          <w:rFonts w:ascii="Times New Roman" w:hAnsi="Times New Roman"/>
        </w:rPr>
      </w:pPr>
    </w:p>
    <w:p>
      <w:pPr>
        <w:jc w:val="both"/>
        <w:ind w:firstLine="708"/>
        <w:spacing w:after="0"/>
        <w:rPr>
          <w:sz w:val="28"/>
          <w:rFonts w:ascii="Times New Roman" w:hAnsi="Times New Roman"/>
        </w:rPr>
      </w:pPr>
      <w:r>
        <w:rPr>
          <w:color w:val="000000"/>
          <w:sz w:val="28"/>
          <w:rFonts w:ascii="Times New Roman" w:hAnsi="Times New Roman"/>
        </w:rPr>
        <w:t xml:space="preserve">Fuqarolik ishlar boʻyicha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fuqarolik sudi nomi</w:t>
        <w:fldChar w:fldCharType="end"/>
      </w:r>
      <w:r>
        <w:rPr>
          <w:sz w:val="28"/>
          <w:rFonts w:ascii="Times New Roman" w:hAnsi="Times New Roman"/>
        </w:rPr>
        <w:t xml:space="preserve"> sudining ish yurituvida javobgar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Ish boʻyicha javogarning F.I.Osi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Daʼvo ariza mazmuni</w:t>
        <w:fldChar w:fldCharType="end"/>
      </w:r>
      <w:r>
        <w:rPr>
          <w:sz w:val="28"/>
          <w:rFonts w:ascii="Times New Roman" w:hAnsi="Times New Roman"/>
        </w:rPr>
        <w:t xml:space="preserve"> haqidagi daʼvo arizam yuzasidan yuritilgan fuqarolik ishi mavjud. </w:t>
      </w:r>
    </w:p>
    <w:p>
      <w:pPr>
        <w:jc w:val="both"/>
        <w:ind w:firstLine="709"/>
        <w:spacing w:after="0"/>
        <w:rPr>
          <w:color w:val="000000"/>
          <w:sz w:val="28"/>
          <w:rFonts w:ascii="Times New Roman" w:hAnsi="Times New Roman"/>
        </w:rPr>
      </w:pPr>
      <w:r>
        <w:rPr>
          <w:color w:val="000000"/>
          <w:sz w:val="28"/>
          <w:rFonts w:ascii="Times New Roman" w:hAnsi="Times New Roman"/>
        </w:rPr>
        <w:t xml:space="preserve">Bugungi kunga kelib, daʼvo arizamda qayd etilgan nizo yuzasidan javobgar bilan oʻrtamizdagi kelishmovchiliklar bartaraf etilgan. </w:t>
      </w:r>
    </w:p>
    <w:p>
      <w:pPr>
        <w:jc w:val="both"/>
        <w:ind w:firstLine="709"/>
        <w:spacing w:after="0"/>
        <w:rPr>
          <w:color w:val="000000"/>
          <w:sz w:val="28"/>
          <w:rFonts w:ascii="Times New Roman" w:hAnsi="Times New Roman"/>
        </w:rPr>
      </w:pPr>
      <w:r>
        <w:rPr>
          <w:color w:val="000000"/>
          <w:sz w:val="28"/>
          <w:rFonts w:ascii="Times New Roman" w:hAnsi="Times New Roman"/>
        </w:rPr>
        <w:t xml:space="preserve">Oʻzbekiston Respublikasi Fuqarolik protsessual Kodeksining 124-moddasiga koʻra,</w:t>
      </w:r>
      <w:r>
        <w:rPr>
          <w:sz w:val="28"/>
          <w:rFonts w:ascii="Times New Roman" w:hAnsi="Times New Roman"/>
        </w:rPr>
        <w:t xml:space="preserve"> daʼvogar arz qilingan talablaridan voz kechgan va sud bu voz kechishni qabul qilgan boʻlsa ish yuritish tugatiladi. </w:t>
      </w:r>
    </w:p>
    <w:p>
      <w:pPr>
        <w:jc w:val="both"/>
        <w:ind w:firstLine="709"/>
        <w:spacing w:after="0"/>
        <w:rPr>
          <w:color w:val="000000"/>
          <w:sz w:val="28"/>
          <w:rFonts w:ascii="Times New Roman" w:hAnsi="Times New Roman"/>
        </w:rPr>
      </w:pPr>
      <w:r>
        <w:rPr>
          <w:color w:val="000000"/>
          <w:sz w:val="28"/>
          <w:rFonts w:ascii="Times New Roman" w:hAnsi="Times New Roman"/>
        </w:rPr>
        <w:t xml:space="preserve">Mazkur kodeksning 125-moddasiga koʻra,  </w:t>
      </w:r>
      <w:r>
        <w:rPr>
          <w:sz w:val="28"/>
          <w:rFonts w:ascii="Times New Roman" w:hAnsi="Times New Roman"/>
        </w:rPr>
        <w:t xml:space="preserve">ish yuritish sudning ajrimi bilan tugatiladi. Agar ish yuritish ish sudga taalluqli boʻlmaganligi sababli tugatilsa va nizoni hal etish boshqa davlat organining vakolatiga taalluqli boʻlsa, sud arizachining qaysi organga murojaat qilishi kerakligini koʻrsatishi shart.</w:t>
      </w:r>
    </w:p>
    <w:p>
      <w:pPr>
        <w:jc w:val="both"/>
        <w:ind w:firstLine="709"/>
        <w:spacing w:after="0"/>
        <w:rPr>
          <w:color w:val="000000"/>
          <w:sz w:val="28"/>
          <w:rFonts w:ascii="Times New Roman" w:hAnsi="Times New Roman"/>
        </w:rPr>
      </w:pPr>
      <w:r>
        <w:rPr>
          <w:color w:val="000000"/>
          <w:sz w:val="28"/>
          <w:rFonts w:ascii="Times New Roman" w:hAnsi="Times New Roman"/>
        </w:rPr>
        <w:t xml:space="preserve">Men yuqoridagilardan kelib chiqqan holda javobgar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Ish boʻyicha javogarning F.I.Osi</w:t>
        <w:fldChar w:fldCharType="end"/>
      </w:r>
      <w:r>
        <w:rPr>
          <w:color w:val="000000"/>
          <w:sz w:val="28"/>
          <w:rFonts w:ascii="Times New Roman" w:hAnsi="Times New Roman"/>
        </w:rPr>
        <w:t xml:space="preserve">ga nisbatan boʻlgan daʼvo talablarimdan voz kechaman.</w:t>
      </w:r>
    </w:p>
    <w:p>
      <w:pPr>
        <w:jc w:val="both"/>
        <w:ind w:firstLine="709"/>
        <w:spacing w:after="0"/>
        <w:rPr>
          <w:color w:val="000000"/>
          <w:sz w:val="28"/>
          <w:rFonts w:ascii="Times New Roman" w:hAnsi="Times New Roman"/>
        </w:rPr>
      </w:pPr>
      <w:r>
        <w:rPr>
          <w:color w:val="000000"/>
          <w:sz w:val="28"/>
          <w:rFonts w:ascii="Times New Roman" w:hAnsi="Times New Roman"/>
        </w:rPr>
        <w:t xml:space="preserve">Daʼvo talablaridan voz kechishning huquqiy oqibatlari menga sud tomonidan tushuntirilgan.   </w:t>
      </w:r>
    </w:p>
    <w:p>
      <w:pPr>
        <w:jc w:val="both"/>
        <w:ind w:firstLine="708"/>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Fuqarolik protsessual kodeksning 42, 43, 157-moddasiga asoslanib, meni javobgar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Ish boʻyicha javogarning F.I.Osi</w:t>
        <w:fldChar w:fldCharType="end"/>
      </w:r>
      <w:r>
        <w:rPr>
          <w:color w:val="000000"/>
          <w:sz w:val="28"/>
          <w:rFonts w:ascii="Times New Roman" w:hAnsi="Times New Roman"/>
        </w:rPr>
        <w:t xml:space="preserve"> ga nisbatan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Daʼvo ariza mazmuni</w:t>
        <w:fldChar w:fldCharType="end"/>
      </w:r>
      <w:r>
        <w:rPr>
          <w:color w:val="000000"/>
          <w:sz w:val="28"/>
          <w:rFonts w:ascii="Times New Roman" w:hAnsi="Times New Roman"/>
        </w:rPr>
        <w:t xml:space="preserve">toʻgʻrisidagi daʼvo talablarimdan voz kechganligimni qabul qilib, ish yuritishni tugatishingizni.</w:t>
      </w:r>
    </w:p>
    <w:p>
      <w:pPr>
        <w:jc w:val="both"/>
        <w:ind w:firstLine="709"/>
        <w:spacing w:after="0"/>
        <w:rPr>
          <w:b/>
          <w:color w:val="000000"/>
          <w:sz w:val="28"/>
          <w:rFonts w:ascii="Times New Roman" w:hAnsi="Times New Roman"/>
        </w:rPr>
      </w:pPr>
    </w:p>
    <w:p>
      <w:pPr>
        <w:jc w:val="both"/>
        <w:spacing w:after="0"/>
        <w:rPr>
          <w:sz w:val="28"/>
          <w:rFonts w:ascii="Times New Roman" w:hAnsi="Times New Roman"/>
        </w:rPr>
      </w:pPr>
    </w:p>
    <w:p>
      <w:pPr>
        <w:pStyle w:val="a3"/>
        <w:jc w:val="both"/>
        <w:spacing w:after="0"/>
        <w:rPr>
          <w:sz w:val="28"/>
          <w:rFonts w:ascii="Times New Roman" w:hAnsi="Times New Roman"/>
        </w:rPr>
      </w:pPr>
    </w:p>
    <w:tbl>
      <w:tblPr>
        <w:tblW w:w="0" w:type="auto"/>
      </w:tblPr>
      <w:tblGrid>
        <w:gridCol w:w="3163"/>
        <w:gridCol w:w="3043"/>
        <w:gridCol w:w="3149"/>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 shaxsning F.I.Sh.i </w:t>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r>
              <w:rPr>
                <w:sz w:val="28"/>
                <w:rFonts w:ascii="Times New Roman" w:hAnsi="Times New Roman"/>
              </w:rPr>
              <w:t>imzo</w:t>
            </w: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spacing w:after="0"/>
        <w:rPr>
          <w:color w:val="000000"/>
          <w:sz w:val="28"/>
          <w:rFonts w:ascii="Times New Roman" w:hAnsi="Times New Roman"/>
        </w:rPr>
      </w:pPr>
    </w:p>
    <w:p>
      <w:pPr>
        <w:spacing w:after="0"/>
        <w:rPr>
          <w:color w:val="000000"/>
          <w:sz w:val="28"/>
          <w:rFonts w:ascii="Times New Roman" w:hAnsi="Times New Roman"/>
        </w:rPr>
      </w:pPr>
    </w:p>
    <w:p>
      <w:pPr>
        <w:spacing w:after="0"/>
        <w:rPr>
          <w:color w:val="000000"/>
          <w:sz w:val="28"/>
          <w:rFonts w:ascii="Times New Roman" w:hAnsi="Times New Roman"/>
        </w:rPr>
      </w:pPr>
    </w:p>
    <w:p>
      <w:pPr>
        <w:spacing w:after="0"/>
        <w:rPr>
          <w:color w:val="000000"/>
          <w:sz w:val="28"/>
          <w:rFonts w:ascii="Times New Roman" w:hAnsi="Times New Roman"/>
        </w:rPr>
      </w:pPr>
    </w:p>
    <w:p>
      <w:pPr>
        <w:jc w:val="both"/>
        <w:spacing w:after="0"/>
        <w:rPr>
          <w:b/>
          <w:sz w:val="28"/>
          <w:rFonts w:ascii="Times New Roman" w:hAnsi="Times New Roman"/>
        </w:rPr>
      </w:pPr>
      <w:r>
        <w:rPr>
          <w:b/>
          <w:sz w:val="28"/>
          <w:rFonts w:ascii="Times New Roman" w:hAnsi="Times New Roman"/>
        </w:rPr>
      </w:r>
    </w:p>
    <w:sectPr>
      <w:type w:val="continuous"/>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00E"/>
    <w:rsid w:val="000B30D9"/>
    <w:rsid w:val="00116403"/>
    <w:rsid w:val="00752E69"/>
    <w:rsid w:val="007F600E"/>
    <w:rsid w:val="00B05D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C430E3-AD18-463D-8F3C-1B7EA3F7D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6403"/>
    <w:pPr>
      <w:suppressAutoHyphens/>
      <w:spacing w:after="200" w:line="276" w:lineRule="auto"/>
    </w:pPr>
    <w:rPr>
      <w:rFonts w:ascii="Calibri" w:eastAsia="Calibri" w:hAnsi="Calibri" w:cs="Times New Roman"/>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6403"/>
    <w:pPr>
      <w:spacing w:after="120"/>
    </w:pPr>
  </w:style>
  <w:style w:type="character" w:customStyle="1" w:styleId="a4">
    <w:name w:val="Основной текст Знак"/>
    <w:basedOn w:val="a0"/>
    <w:link w:val="a3"/>
    <w:rsid w:val="00116403"/>
    <w:rPr>
      <w:rFonts w:ascii="Calibri" w:eastAsia="Calibri" w:hAnsi="Calibri" w:cs="Times New Roman"/>
      <w:lang w:eastAsia="zh-CN"/>
    </w:rPr>
  </w:style>
  <w:style w:type="paragraph" w:styleId="a5">
    <w:name w:val="List Paragraph"/>
    <w:basedOn w:val="a"/>
    <w:uiPriority w:val="34"/>
    <w:qFormat/>
    <w:rsid w:val="00116403"/>
    <w:pPr>
      <w:suppressAutoHyphens w:val="0"/>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1570</Characters>
  <Application>Microsoft Office Word</Application>
  <DocSecurity>0</DocSecurity>
  <Lines>13</Lines>
  <Paragraphs>3</Paragraphs>
  <ScaleCrop>false</ScaleCrop>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2025-04-01T03:41:00Z</dcterms:created>
  <dcterms:modified xsi:type="dcterms:W3CDTF">2025-04-01T03:41:00Z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 rekvizitlari</w:name>
    <w:value w:hidden="true">
      <w:unit w:active="false"/>
    </w:value>
  </w:element>
  <w:element w:id="2" w:kind="variable" w:type="string" w:valueMode="normal" w:required="false" w:groupID="1">
    <w:identifier xml:space="preserve">ID2</w:identifier>
    <w:name xml:space="preserve">Ariza berilgan fuqarolik sudi nomi</w:name>
    <w:value w:hidden="false">
      <w:unit w:active="false"/>
    </w:value>
  </w:element>
  <w:element w:id="3" w:kind="variable" w:type="string" w:valueMode="normal" w:required="false" w:groupID="1">
    <w:identifier xml:space="preserve">ID3</w:identifier>
    <w:name xml:space="preserve">Ariza berilgan sana</w:name>
    <w:value w:hidden="false">
      <w:unit w:active="false"/>
    </w:value>
  </w:element>
  <w:element w:id="4" w:kind="category" w:type="string" w:valueMode="normal" w:required="false" w:groupID="4">
    <w:identifier xml:space="preserve">ID4</w:identifier>
    <w:name xml:space="preserve">Ariza beruvchi</w:name>
    <w:value w:hidden="true">
      <w:unit w:active="false"/>
    </w:value>
  </w:element>
  <w:element w:id="5" w:kind="variable" w:type="string" w:valueMode="normal" w:required="false" w:groupID="4">
    <w:identifier xml:space="preserve">ID5</w:identifier>
    <w:name xml:space="preserve">Ariza beruvchining manzili</w:name>
    <w:value w:hidden="false">
      <w:unit w:active="false"/>
    </w:value>
  </w:element>
  <w:element w:id="6" w:kind="variable" w:type="string" w:valueMode="normal" w:required="false" w:groupID="4">
    <w:identifier xml:space="preserve">ID6</w:identifier>
    <w:name xml:space="preserve">Ariza beruvchi shaxsning F.I.Sh.i </w:name>
    <w:value w:hidden="false">
      <w:unit w:active="false"/>
    </w:value>
  </w:element>
  <w:element w:id="7" w:kind="category" w:type="string" w:valueMode="normal" w:required="false" w:groupID="7">
    <w:identifier xml:space="preserve">ID7</w:identifier>
    <w:name xml:space="preserve">Ariza mazmuni</w:name>
    <w:value w:hidden="true">
      <w:unit w:active="false"/>
    </w:value>
  </w:element>
  <w:element w:id="8" w:kind="variable" w:type="string" w:valueMode="normal" w:required="false" w:groupID="7">
    <w:identifier xml:space="preserve">ID8</w:identifier>
    <w:name xml:space="preserve">Ish boʻyicha javogarning F.I.Osi</w:name>
    <w:value w:hidden="false">
      <w:unit w:active="false"/>
    </w:value>
  </w:element>
  <w:element w:id="9" w:kind="variable" w:type="string" w:valueMode="normal" w:required="false" w:groupID="7">
    <w:identifier xml:space="preserve">ID9</w:identifier>
    <w:name xml:space="preserve">Daʼvo ariza mazmuni</w:name>
    <w:value w:hidden="false">
      <w:unit w:active="false"/>
    </w:value>
  </w:element>
</w:structure>
</file>