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sz w:val="24"/>
          <w:rFonts w:ascii="Times New Roman" w:hAnsi="Times New Roman"/>
        </w:rPr>
      </w:pPr>
      <w:r>
        <w:rPr>
          <w:b/>
          <w:sz w:val="24"/>
          <w:rFonts w:ascii="Times New Roman" w:hAnsi="Times New Roman"/>
        </w:rPr>
        <w:t xml:space="preserve">Kichik quvvatli qayta tiklanuvchi energiya manbalaridan ishlab chiqarilgan elektr energiyasini yetkazib berish shartnomasi namunasi</w:t>
      </w:r>
    </w:p>
    <w:p>
      <w:pPr>
        <w:pStyle w:val="a3"/>
        <w:ind w:firstLine="29"/>
        <w:spacing w:before="15" w:after="15"/>
        <w:rPr>
          <w:color w:val="000000"/>
          <w:rFonts w:ascii="Times New Roman" w:hAnsi="Times New Roman"/>
        </w:rPr>
      </w:pPr>
      <w:r>
        <w:rPr>
          <w:rStyle w:val="structures"/>
          <w:vanish w:val="false"/>
          <w:color w:val="000000"/>
          <w:sz w:val="28"/>
          <w:rFonts w:ascii="Times New Roman" w:hAnsi="Times New Roman"/>
        </w:rPr>
        <w:fldChar w:fldCharType="begin"/>
        <w:instrText xml:space="preserve">X {"Y":2}</w:instrText>
        <w:fldChar w:fldCharType="separate"/>
        <w:t xml:space="preserve">Shartnoma tuzilgan vaqt</w:t>
      </w:r>
      <w:r>
        <w:rPr>
          <w:rStyle w:val="structures"/>
          <w:vanish w:val="false"/>
          <w:color w:val="000000"/>
          <w:sz w:val="28"/>
          <w:rFonts w:ascii="Times New Roman" w:hAnsi="Times New Roman"/>
        </w:rPr>
        <w:fldChar w:fldCharType="end"/>
      </w:r>
      <w:r>
        <w:rPr>
          <w:rStyle w:val="structures"/>
          <w:color w:val="000000"/>
          <w:sz w:val="28"/>
          <w:rFonts w:ascii="Times New Roman" w:hAnsi="Times New Roman"/>
        </w:rPr>
        <w:t xml:space="preserve">       </w:t>
      </w:r>
      <w:r>
        <w:rPr>
          <w:rStyle w:val="structures"/>
          <w:vanish w:val="false"/>
          <w:color w:val="000000"/>
          <w:sz w:val="28"/>
          <w:rFonts w:ascii="Times New Roman" w:hAnsi="Times New Roman"/>
        </w:rPr>
        <w:fldChar w:fldCharType="begin"/>
        <w:instrText xml:space="preserve">X {"Y":3}</w:instrText>
        <w:fldChar w:fldCharType="separate"/>
        <w:t xml:space="preserve">Shartnoma raqami – son</w:t>
      </w:r>
      <w:r>
        <w:rPr>
          <w:rStyle w:val="structures"/>
          <w:vanish w:val="false"/>
          <w:color w:val="000000"/>
          <w:sz w:val="28"/>
          <w:rFonts w:ascii="Times New Roman" w:hAnsi="Times New Roman"/>
        </w:rPr>
        <w:fldChar w:fldCharType="end"/>
      </w:r>
      <w:r>
        <w:rPr>
          <w:color w:val="000000"/>
          <w:sz w:val="28"/>
        </w:rPr>
        <w:t xml:space="preserve">   </w:t>
      </w:r>
      <w:r>
        <w:rPr>
          <w:rStyle w:val="structures"/>
          <w:vanish w:val="false"/>
          <w:color w:val="000000"/>
          <w:sz w:val="28"/>
          <w:rFonts w:ascii="Times New Roman" w:hAnsi="Times New Roman"/>
        </w:rPr>
        <w:fldChar w:fldCharType="begin"/>
        <w:instrText xml:space="preserve">X {"Y":4}</w:instrText>
        <w:fldChar w:fldCharType="separate"/>
        <w:t xml:space="preserve">Shartnoma tuzilgan joy</w:t>
      </w:r>
      <w:r>
        <w:rPr>
          <w:rStyle w:val="structures"/>
          <w:vanish w:val="false"/>
          <w:color w:val="000000"/>
          <w:sz w:val="28"/>
          <w:rFonts w:ascii="Times New Roman" w:hAnsi="Times New Roman"/>
        </w:rPr>
        <w:fldChar w:fldCharType="end"/>
      </w:r>
    </w:p>
    <w:p>
      <w:pPr>
        <w:jc w:val="both"/>
        <w:ind w:firstLine="708"/>
        <w:rPr>
          <w:sz w:val="24"/>
          <w:rFonts w:ascii="Times New Roman" w:hAnsi="Times New Roman"/>
        </w:rPr>
      </w:pPr>
      <w:r>
        <w:rPr>
          <w:sz w:val="24"/>
          <w:rFonts w:ascii="Times New Roman" w:hAnsi="Times New Roman"/>
        </w:rPr>
        <w:t xml:space="preserve"> </w:t>
      </w:r>
    </w:p>
    <w:p>
      <w:pPr>
        <w:jc w:val="both"/>
        <w:ind w:firstLine="708"/>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Ta’minotchi korxonaning nomi</w:t>
      </w:r>
      <w:r>
        <w:rPr>
          <w:vanish w:val="false"/>
          <w:sz w:val="24"/>
          <w:rFonts w:ascii="Times New Roman" w:hAnsi="Times New Roman"/>
        </w:rPr>
        <w:fldChar w:fldCharType="end"/>
      </w:r>
      <w:r>
        <w:rPr>
          <w:sz w:val="24"/>
          <w:rFonts w:ascii="Times New Roman" w:hAnsi="Times New Roman"/>
        </w:rPr>
        <w:t xml:space="preserve"> nomidan uning Ustavi asosida faoliyat yurituvchi direktori </w:t>
      </w:r>
      <w:r>
        <w:rPr>
          <w:vanish w:val="false"/>
          <w:sz w:val="24"/>
          <w:rFonts w:ascii="Times New Roman" w:hAnsi="Times New Roman"/>
        </w:rPr>
        <w:fldChar w:fldCharType="begin"/>
        <w:instrText xml:space="preserve">X {"Y":7}</w:instrText>
        <w:fldChar w:fldCharType="separate"/>
        <w:t xml:space="preserve">Ta’minotchi korxonaning rahbari familiyasi, ismi, otasining ismi</w:t>
      </w:r>
      <w:r>
        <w:rPr>
          <w:vanish w:val="false"/>
          <w:sz w:val="24"/>
          <w:rFonts w:ascii="Times New Roman" w:hAnsi="Times New Roman"/>
        </w:rPr>
        <w:fldChar w:fldCharType="end"/>
      </w:r>
      <w:r>
        <w:rPr>
          <w:sz w:val="24"/>
          <w:rFonts w:ascii="Times New Roman" w:hAnsi="Times New Roman"/>
        </w:rPr>
        <w:t xml:space="preserve">, keyingi oʻrinlarda “Taʼminotchi” deb ataluvchi, bir tomondan va </w:t>
      </w:r>
      <w:r>
        <w:rPr>
          <w:vanish w:val="false"/>
          <w:sz w:val="24"/>
          <w:rFonts w:ascii="Times New Roman" w:hAnsi="Times New Roman"/>
        </w:rPr>
        <w:fldChar w:fldCharType="begin"/>
        <w:instrText xml:space="preserve">X {"Y":8}</w:instrText>
        <w:fldChar w:fldCharType="separate"/>
        <w:t xml:space="preserve"> Iste’molchi korxonaning nomi</w:t>
      </w:r>
      <w:r>
        <w:rPr>
          <w:vanish w:val="false"/>
          <w:sz w:val="24"/>
          <w:rFonts w:ascii="Times New Roman" w:hAnsi="Times New Roman"/>
        </w:rPr>
        <w:fldChar w:fldCharType="end"/>
      </w:r>
      <w:r>
        <w:rPr>
          <w:sz w:val="24"/>
          <w:rFonts w:ascii="Times New Roman" w:hAnsi="Times New Roman"/>
        </w:rPr>
        <w:t xml:space="preserve"> nomidan faoliyat yurituvchi </w:t>
      </w:r>
      <w:r>
        <w:rPr>
          <w:vanish w:val="false"/>
          <w:sz w:val="24"/>
          <w:rFonts w:ascii="Times New Roman" w:hAnsi="Times New Roman"/>
        </w:rPr>
        <w:fldChar w:fldCharType="begin"/>
        <w:instrText xml:space="preserve">X {"Y":9}</w:instrText>
        <w:fldChar w:fldCharType="separate"/>
        <w:t xml:space="preserve">Iste’molchi korxona rahbarining familiyasi, ismi, otasining ismi</w:t>
      </w:r>
      <w:r>
        <w:rPr>
          <w:vanish w:val="false"/>
          <w:sz w:val="24"/>
          <w:rFonts w:ascii="Times New Roman" w:hAnsi="Times New Roman"/>
        </w:rPr>
        <w:fldChar w:fldCharType="end"/>
      </w:r>
      <w:r>
        <w:rPr>
          <w:sz w:val="24"/>
          <w:rFonts w:ascii="Times New Roman" w:hAnsi="Times New Roman"/>
        </w:rPr>
        <w:t xml:space="preserve">, keyingi oʻrinlarda “Isteʼmolchi” deb ataluvchi, ikkinchi tomondan, birgalikda “Tomonlar” deb ataladi, quyidagilar toʻgʻrisida ushbu Kichik quvvatli qayta tiklanuvchi energiya manbalaridan ishlab chiqarilgan elektr energiyasini yetkazib berish shartnomasini (keyingi oʻrinlarda “Shartnoma” deb ataluvchi) tuzdilar. </w:t>
      </w:r>
    </w:p>
    <w:p>
      <w:pPr>
        <w:jc w:val="center"/>
        <w:ind w:firstLine="708"/>
        <w:rPr>
          <w:b/>
          <w:sz w:val="24"/>
          <w:rFonts w:ascii="Times New Roman" w:hAnsi="Times New Roman"/>
        </w:rPr>
      </w:pPr>
      <w:r>
        <w:rPr>
          <w:b/>
          <w:sz w:val="24"/>
          <w:rFonts w:ascii="Times New Roman" w:hAnsi="Times New Roman"/>
        </w:rPr>
        <w:t xml:space="preserve">I. SHARTNOMA PREDMETI</w:t>
      </w:r>
    </w:p>
    <w:p>
      <w:pPr>
        <w:jc w:val="both"/>
        <w:ind w:firstLine="708"/>
        <w:rPr>
          <w:sz w:val="24"/>
          <w:rFonts w:ascii="Times New Roman" w:hAnsi="Times New Roman"/>
        </w:rPr>
      </w:pPr>
      <w:r>
        <w:rPr>
          <w:sz w:val="24"/>
          <w:rFonts w:ascii="Times New Roman" w:hAnsi="Times New Roman"/>
        </w:rPr>
        <w:t xml:space="preserve"> 1. Ushbu elektr energiyasi taʼminoti shartnomasiga (keyingi oʻrinlarda — Shartnoma deb ataladi) muvofiq, “Taʼminotchi” “Isteʼmolchi”ga Oʻzbekiston Respublikasi Prezidentining 2023-yil 16-fevraldagi PQ–57-son “2023-yilda qayta tiklanuvchi energiya manbalarini va energiya tejovchi texnologiyalarni joriy etishni jadallashtirish chora-tadbirlari toʻgʻrisida”gi qaroriga asosan o‘rnatilgan kichik quvvatli qayta tiklanuvchi energiya manbalaridan ishlab chiqargan elektr energiyasini yetkazib berish va “Isteʼmolchi” isteʼmol qilingan energiya uchun oʻz vaqtida haq toʻlash majburiyatini oladi. </w:t>
      </w:r>
    </w:p>
    <w:p>
      <w:pPr>
        <w:jc w:val="center"/>
        <w:ind w:firstLine="708"/>
        <w:rPr>
          <w:b/>
          <w:sz w:val="24"/>
          <w:rFonts w:ascii="Times New Roman" w:hAnsi="Times New Roman"/>
        </w:rPr>
      </w:pPr>
      <w:r>
        <w:rPr>
          <w:b/>
          <w:sz w:val="24"/>
          <w:rFonts w:ascii="Times New Roman" w:hAnsi="Times New Roman"/>
        </w:rPr>
        <w:t xml:space="preserve">II. YETKAZIB BERILGAN ELEKTR ENERGIYANI HISOBGA OLISH</w:t>
      </w:r>
    </w:p>
    <w:p>
      <w:pPr>
        <w:jc w:val="both"/>
        <w:ind w:firstLine="708"/>
        <w:rPr>
          <w:sz w:val="24"/>
          <w:rFonts w:ascii="Times New Roman" w:hAnsi="Times New Roman"/>
        </w:rPr>
      </w:pPr>
      <w:r>
        <w:rPr>
          <w:sz w:val="24"/>
          <w:rFonts w:ascii="Times New Roman" w:hAnsi="Times New Roman"/>
        </w:rPr>
        <w:t xml:space="preserve">2.1. Elektr energiya isteʼmolining yillik shartnomaviy taxminiy hajmi: Aktiv </w:t>
      </w:r>
      <w:r>
        <w:rPr>
          <w:vanish w:val="false"/>
          <w:sz w:val="24"/>
          <w:rFonts w:ascii="Times New Roman" w:hAnsi="Times New Roman"/>
        </w:rPr>
        <w:fldChar w:fldCharType="begin"/>
        <w:instrText xml:space="preserve">X {"Y":11}</w:instrText>
        <w:fldChar w:fldCharType="separate"/>
        <w:t xml:space="preserve">Elektr energiya isteʼmolining yillik shartnomaviy taxminiy hajmi</w:t>
      </w:r>
      <w:r>
        <w:rPr>
          <w:vanish w:val="false"/>
          <w:sz w:val="24"/>
          <w:rFonts w:ascii="Times New Roman" w:hAnsi="Times New Roman"/>
        </w:rPr>
        <w:fldChar w:fldCharType="end"/>
      </w:r>
      <w:r>
        <w:rPr>
          <w:sz w:val="24"/>
          <w:rFonts w:ascii="Times New Roman" w:hAnsi="Times New Roman"/>
        </w:rPr>
        <w:t xml:space="preserve"> kVt*s. </w:t>
      </w:r>
    </w:p>
    <w:p>
      <w:pPr>
        <w:jc w:val="both"/>
        <w:ind w:firstLine="708"/>
        <w:rPr>
          <w:sz w:val="24"/>
          <w:rFonts w:ascii="Times New Roman" w:hAnsi="Times New Roman"/>
        </w:rPr>
      </w:pPr>
      <w:r>
        <w:rPr>
          <w:sz w:val="24"/>
          <w:rFonts w:ascii="Times New Roman" w:hAnsi="Times New Roman"/>
        </w:rPr>
        <w:t xml:space="preserve">2.2. Yetkazib beriladigan energiyaning shartnoma tuzilgan kunidagi umumiy narxi </w:t>
      </w:r>
      <w:r>
        <w:rPr>
          <w:vanish w:val="false"/>
          <w:sz w:val="24"/>
          <w:rFonts w:ascii="Times New Roman" w:hAnsi="Times New Roman"/>
        </w:rPr>
        <w:fldChar w:fldCharType="begin"/>
        <w:instrText xml:space="preserve">X {"Y":12}</w:instrText>
        <w:fldChar w:fldCharType="separate"/>
        <w:t xml:space="preserve">Yetkazib beriladigan energiyaning shartnoma tuzilgan kunidagi umumiy narxi so‘mda</w:t>
      </w:r>
      <w:r>
        <w:rPr>
          <w:vanish w:val="false"/>
          <w:sz w:val="24"/>
          <w:rFonts w:ascii="Times New Roman" w:hAnsi="Times New Roman"/>
        </w:rPr>
        <w:fldChar w:fldCharType="end"/>
      </w:r>
      <w:r>
        <w:rPr>
          <w:sz w:val="24"/>
          <w:rFonts w:ascii="Times New Roman" w:hAnsi="Times New Roman"/>
        </w:rPr>
        <w:t xml:space="preserve">soʻmni, tarif boʻyicha </w:t>
      </w:r>
      <w:r>
        <w:rPr>
          <w:vanish w:val="false"/>
          <w:sz w:val="24"/>
          <w:rFonts w:ascii="Times New Roman" w:hAnsi="Times New Roman"/>
        </w:rPr>
        <w:fldChar w:fldCharType="begin"/>
        <w:instrText xml:space="preserve">X {"Y":13}</w:instrText>
        <w:fldChar w:fldCharType="separate"/>
        <w:t xml:space="preserve">Yetkazib beriladigan energiyaning shartnoma tuzilgan kunidagi ta’rif bo‘yicha narxi so‘mda</w:t>
      </w:r>
      <w:r>
        <w:rPr>
          <w:vanish w:val="false"/>
          <w:sz w:val="24"/>
          <w:rFonts w:ascii="Times New Roman" w:hAnsi="Times New Roman"/>
        </w:rPr>
        <w:fldChar w:fldCharType="end"/>
      </w:r>
      <w:r>
        <w:rPr>
          <w:sz w:val="24"/>
          <w:rFonts w:ascii="Times New Roman" w:hAnsi="Times New Roman"/>
        </w:rPr>
        <w:t xml:space="preserve">tashkil etadi. Byudjet tashkilotlari uchun: Byudjet mablagʻlari hisobidan </w:t>
      </w:r>
      <w:r>
        <w:rPr>
          <w:vanish w:val="false"/>
          <w:sz w:val="24"/>
          <w:rFonts w:ascii="Times New Roman" w:hAnsi="Times New Roman"/>
        </w:rPr>
        <w:fldChar w:fldCharType="begin"/>
        <w:instrText xml:space="preserve">X {"Y":14}</w:instrText>
        <w:fldChar w:fldCharType="separate"/>
        <w:t xml:space="preserve">Byudjet tashkilotlari uchun yetkazib beriladigan energiyaning shartnoma tuzilgan kunidagi ta’rif bo‘yicha narxi so‘mda</w:t>
      </w:r>
      <w:r>
        <w:rPr>
          <w:vanish w:val="false"/>
          <w:sz w:val="24"/>
          <w:rFonts w:ascii="Times New Roman" w:hAnsi="Times New Roman"/>
        </w:rPr>
        <w:fldChar w:fldCharType="end"/>
      </w:r>
      <w:r>
        <w:rPr>
          <w:sz w:val="24"/>
          <w:rFonts w:ascii="Times New Roman" w:hAnsi="Times New Roman"/>
        </w:rPr>
        <w:t xml:space="preserve"> soʻmni, Byudjetdan tashqari mablagʻlari hisobidan </w:t>
      </w:r>
      <w:r>
        <w:rPr>
          <w:vanish w:val="false"/>
          <w:sz w:val="24"/>
          <w:rFonts w:ascii="Times New Roman" w:hAnsi="Times New Roman"/>
        </w:rPr>
        <w:fldChar w:fldCharType="begin"/>
        <w:instrText xml:space="preserve">X {"Y":15}</w:instrText>
        <w:fldChar w:fldCharType="separate"/>
        <w:t xml:space="preserve">Byudjetdan tashqari mablagʻlar hisobidan qoplanadigan qismi so‘mda</w:t>
      </w:r>
      <w:r>
        <w:rPr>
          <w:vanish w:val="false"/>
          <w:sz w:val="24"/>
          <w:rFonts w:ascii="Times New Roman" w:hAnsi="Times New Roman"/>
        </w:rPr>
        <w:fldChar w:fldCharType="end"/>
      </w:r>
      <w:r>
        <w:rPr>
          <w:sz w:val="24"/>
          <w:rFonts w:ascii="Times New Roman" w:hAnsi="Times New Roman"/>
        </w:rPr>
        <w:t xml:space="preserve">soʻmni tashkil qiladi. </w:t>
      </w:r>
    </w:p>
    <w:p>
      <w:pPr>
        <w:jc w:val="both"/>
        <w:ind w:firstLine="708"/>
        <w:rPr>
          <w:sz w:val="24"/>
          <w:rFonts w:ascii="Times New Roman" w:hAnsi="Times New Roman"/>
        </w:rPr>
      </w:pPr>
      <w:r>
        <w:rPr>
          <w:sz w:val="24"/>
          <w:rFonts w:ascii="Times New Roman" w:hAnsi="Times New Roman"/>
        </w:rPr>
        <w:t xml:space="preserve">2.3. “Isteʼmolchi”ga yetkazib beriladigan elektr energiyasining oylar kesimidagi yillik taxminiy hajmi </w:t>
      </w:r>
      <w:r>
        <w:rPr>
          <w:vanish w:val="false"/>
          <w:sz w:val="24"/>
          <w:rFonts w:ascii="Times New Roman" w:hAnsi="Times New Roman"/>
        </w:rPr>
        <w:fldChar w:fldCharType="begin"/>
        <w:instrText xml:space="preserve">X {"Y":16}</w:instrText>
        <w:fldChar w:fldCharType="separate"/>
        <w:t xml:space="preserve">“Isteʼmolchi”ga yetkazib beriladigan elektr energiyasining oylar kesimidagi yillik taxminiy hajmi miqdori</w:t>
      </w:r>
      <w:r>
        <w:rPr>
          <w:vanish w:val="false"/>
          <w:sz w:val="24"/>
          <w:rFonts w:ascii="Times New Roman" w:hAnsi="Times New Roman"/>
        </w:rPr>
        <w:fldChar w:fldCharType="end"/>
      </w:r>
      <w:r>
        <w:rPr>
          <w:sz w:val="24"/>
          <w:rFonts w:ascii="Times New Roman" w:hAnsi="Times New Roman"/>
        </w:rPr>
        <w:t xml:space="preserve"> kVt*soatni tashkil qiladi.</w:t>
      </w:r>
    </w:p>
    <w:p>
      <w:pPr>
        <w:jc w:val="both"/>
        <w:ind w:firstLine="708"/>
        <w:rPr>
          <w:sz w:val="24"/>
          <w:rFonts w:ascii="Times New Roman" w:hAnsi="Times New Roman"/>
        </w:rPr>
      </w:pPr>
      <w:r>
        <w:rPr>
          <w:sz w:val="24"/>
          <w:rFonts w:ascii="Times New Roman" w:hAnsi="Times New Roman"/>
        </w:rPr>
        <w:t xml:space="preserve">2.4. “Isteʼmolchi” tomonidan isteʼmol qilingan elektr energiyasining haq toʻlanishi lozim boʻlgan hajmi hisobga olish uskunalarining koʻrsatkichlari asosida, hisobga olish uskunalari ulangan tok va kuchlanish transformatorlarining transformatsiya koeffitsiyentlari inobatga olingan holda aniqlanadi. </w:t>
      </w:r>
    </w:p>
    <w:p>
      <w:pPr>
        <w:jc w:val="both"/>
        <w:ind w:firstLine="708"/>
        <w:rPr>
          <w:sz w:val="24"/>
          <w:rFonts w:ascii="Times New Roman" w:hAnsi="Times New Roman"/>
        </w:rPr>
      </w:pPr>
      <w:r>
        <w:rPr>
          <w:sz w:val="24"/>
          <w:rFonts w:ascii="Times New Roman" w:hAnsi="Times New Roman"/>
        </w:rPr>
        <w:t xml:space="preserve">2.5. “Isteʼmolchi”ning elektr energiyasini hisobga olish uskunalari, shuningdek elektr energiyasini hisobga olishning boshqa vositalari “Taʼminotchi”ning mablagʻlari hisobiga sotib olinadi, davlat qiyoslovidan oʻtkaziladi, oʻrnatiladi, plombalanadi va roʻyxatdan oʻtkaziladi. </w:t>
      </w:r>
    </w:p>
    <w:p>
      <w:pPr>
        <w:jc w:val="both"/>
        <w:ind w:firstLine="708"/>
        <w:rPr>
          <w:sz w:val="24"/>
          <w:rFonts w:ascii="Times New Roman" w:hAnsi="Times New Roman"/>
        </w:rPr>
      </w:pPr>
      <w:r>
        <w:rPr>
          <w:sz w:val="24"/>
          <w:rFonts w:ascii="Times New Roman" w:hAnsi="Times New Roman"/>
        </w:rPr>
        <w:t xml:space="preserve">2.6. Hisobga olish uskunalari “Isteʼmolchi”ning aybi bilan buzilgan taqdirda (tok va kuchlanishni oʻlchash transformatorlarining ishdan chiqishi, shuningdek, ikkilamchi kommutatsiya, hisobga olish uskunalarining shikastlanishi yoki ularning yoʻqolishi va boshqa holatlarda) hisobga olish, nazorat qilish asboblarini va ularga tegishli asbob-uskunalarni almashtirish, taʼmirlash, davlat qiyoslovidan oʻtkazish va oʻrnatish isteʼmolchi tomonidan ular qiymati va koʻrsatilgan xizmatlar uchun haq toʻlangan holda, “Taʼminotchi” tomonidan amalga oshiriladi. </w:t>
      </w:r>
    </w:p>
    <w:p>
      <w:pPr>
        <w:jc w:val="center"/>
        <w:ind w:firstLine="708"/>
        <w:rPr>
          <w:b/>
          <w:sz w:val="24"/>
          <w:rFonts w:ascii="Times New Roman" w:hAnsi="Times New Roman"/>
        </w:rPr>
      </w:pPr>
      <w:r>
        <w:rPr>
          <w:b/>
          <w:sz w:val="24"/>
          <w:rFonts w:ascii="Times New Roman" w:hAnsi="Times New Roman"/>
        </w:rPr>
        <w:t xml:space="preserve">III. HISOB-KITOB QILISH TARTIBI</w:t>
      </w:r>
    </w:p>
    <w:p>
      <w:pPr>
        <w:jc w:val="both"/>
        <w:ind w:firstLine="708"/>
        <w:rPr>
          <w:sz w:val="24"/>
          <w:rFonts w:ascii="Times New Roman" w:hAnsi="Times New Roman"/>
        </w:rPr>
      </w:pPr>
      <w:r>
        <w:rPr>
          <w:sz w:val="24"/>
          <w:rFonts w:ascii="Times New Roman" w:hAnsi="Times New Roman"/>
        </w:rPr>
        <w:t xml:space="preserve">3.1. Elektr energiyasi uchun hisob-kitoblar amaldagi tariflar asosida amalga oshiriladi. </w:t>
      </w:r>
    </w:p>
    <w:p>
      <w:pPr>
        <w:jc w:val="both"/>
        <w:ind w:firstLine="708"/>
        <w:rPr>
          <w:sz w:val="24"/>
          <w:rFonts w:ascii="Times New Roman" w:hAnsi="Times New Roman"/>
        </w:rPr>
      </w:pPr>
      <w:r>
        <w:rPr>
          <w:sz w:val="24"/>
          <w:rFonts w:ascii="Times New Roman" w:hAnsi="Times New Roman"/>
        </w:rPr>
        <w:t xml:space="preserve">3.2. “Taʼminotchi” “Isteʼmolchi” (yoki uning vakili) bilan birgalikda isteʼmol qilingan elektr energiyasining amaldagi miqdorini aniqlash uchun ulardagi elektr energiyasini hisobga olish uskunalari koʻrsatkichlarini har oyda yozib olish va zarur boʻlganda elektr energiyasini hisobga olish uskunalarini ulash sxemasini tekshirib koʻrish vakolatiga ega. “Isteʼmolchi” hisob-kitob davri tugagandan soʻng, “Taʼminotchi” vakolatli vakili bilan birgalikda (mavjud vaziyatdan kelib chiqqan zarurat boʻlgan holda) yoki uning ishtirokisiz hisobga olish uskunalarining koʻrsatkichlarini har oyda yozib oladi, mazkur shartnomaga muvofiq shaklda iste’mol qilingan energiya sarfi bo‘yicha hisobot tuzadi va uni har oyning 5-sanasiga qadar “Taʼminotchi”ga taqdim qiladi. Elektr energiyasini hisobga olish va nazorat qilishning avtomatlashtirilgan tizimi joriy etilgan “Isteʼmolchi”larda hisobga olish uskunalaridagi koʻrsatkichlar avtomatlashtirilgan tizimning texnik parametrlariga muvofiq, biroq bir oyda kamida bir marta yoki “Isteʼmolchi”ning buyurtmasi boʻyicha yozib olinadi. </w:t>
      </w:r>
    </w:p>
    <w:p>
      <w:pPr>
        <w:jc w:val="both"/>
        <w:ind w:firstLine="708"/>
        <w:rPr>
          <w:sz w:val="24"/>
          <w:rFonts w:ascii="Times New Roman" w:hAnsi="Times New Roman"/>
        </w:rPr>
      </w:pPr>
      <w:r>
        <w:rPr>
          <w:sz w:val="24"/>
          <w:rFonts w:ascii="Times New Roman" w:hAnsi="Times New Roman"/>
        </w:rPr>
        <w:t xml:space="preserve">3.3. Elektr energiyasi uchun amaldagi tariflar oʻzgargan taqdirda, “Taʼminotchi” tomonidan kamida 15 kun oldin “Isteʼmolchi” ogohlantiriladi. Bunda elektr energiyasi uchun tariflar oʻzgargan sanadan qat’i nazar, elektr taʼminoti shartnomasi oʻz kuchida qoladi va “Isteʼmolchi” foydalanilgan elektr energiyasi uchun yangi tarif kuchga kirgan kundan boshlab haq toʻlashga majburdir. Tarif oʻzgargan taqdirda, “Isteʼmolchi”lar elektr energiyasining avans tariqasida toʻlangan hajmi uchun toʻlov kunidan boshlab keyingi bir oydan ortiq boʻlmagan muddatda qoʻshimcha toʻlov toʻlashdan ozod etiladi. Arifmetik xatoliklar, koʻrsatkichlarda noaniqliklar kuzatilganda, tariflarni notoʻgʻri qoʻllash tufayli paydo boʻladigan kam va ortiqcha toʻlovlar tegishli tarif boʻyicha kVt*soatlarda qayta hisoblab chiqiladi va “Taʼminotchi” tomonidan daʼvo muddati doirasida koʻrsatkichlardagi tafovut yoki qoʻshimchalar bilan birgalikda hisobga olinadi. </w:t>
      </w:r>
    </w:p>
    <w:p>
      <w:pPr>
        <w:jc w:val="both"/>
        <w:ind w:firstLine="708"/>
        <w:rPr>
          <w:sz w:val="24"/>
          <w:rFonts w:ascii="Times New Roman" w:hAnsi="Times New Roman"/>
        </w:rPr>
      </w:pPr>
      <w:r>
        <w:rPr>
          <w:sz w:val="24"/>
          <w:rFonts w:ascii="Times New Roman" w:hAnsi="Times New Roman"/>
        </w:rPr>
        <w:t xml:space="preserve">3.4. “Isteʼmolchi”ga elektr energiyasi yetkazib berish 100 foiz oldindan haq toʻlash asosida amalga oshiriladi. Yaʼni, “Isteʼmolchi” oylik elektr energiya isteʼmoli boʻyicha hisobotni oyning 1-sanasidan 5-sanasigacha elektron yoki yozma shaklda “Ta’minotchi”ga topshiradi, soʻngra oyning 10-sanasigacha hisobot oyi va kelgusi oy uchun shartnomada belgilangan 100 foizlik miqdor uchun oldindan haq toʻlaydi. </w:t>
      </w:r>
    </w:p>
    <w:p>
      <w:pPr>
        <w:jc w:val="both"/>
        <w:ind w:firstLine="708"/>
        <w:rPr>
          <w:sz w:val="24"/>
          <w:rFonts w:ascii="Times New Roman" w:hAnsi="Times New Roman"/>
        </w:rPr>
      </w:pPr>
      <w:r>
        <w:rPr>
          <w:sz w:val="24"/>
          <w:rFonts w:ascii="Times New Roman" w:hAnsi="Times New Roman"/>
        </w:rPr>
        <w:t xml:space="preserve">3.5. “Taʼminotchi” “Isteʼmolchi”ning energiya sarfi toʻgʻrisidagi hisoboti asosida belgilangan tartibda hisob-kitobni amalga oshiradi va besh kun ichida toʻlov amalga oshirish uchun hisob faktura va toʻlov hisob varagʻini taqdim etadi. Toʻlov toʻgʻrisida isteʼmolchini xabardor qilish ogohlantirish hisoblanadi. “Taʼminotchi” tomonidan maxsus dasturiy mahsulot orqali hisob faktura va toʻlov hisob varagʻi shakllantiriladi hamda “Isteʼmolchi” toʻgʻrisidagi maʼlumotlar koʻrsatilgan holda elektron raqamli imzo bilan tasdiqlanib, “Isteʼmolchi”ga yuboriladi. Agar maxsus dasturiy mahsulot orqali yetkazish imkoniyati mavjud boʻlmasa hisob faktura va toʻlov hisob varagʻi yozma shaklda beriladi. </w:t>
      </w:r>
    </w:p>
    <w:p>
      <w:pPr>
        <w:jc w:val="both"/>
        <w:ind w:firstLine="708"/>
        <w:rPr>
          <w:sz w:val="24"/>
          <w:rFonts w:ascii="Times New Roman" w:hAnsi="Times New Roman"/>
        </w:rPr>
      </w:pPr>
      <w:r>
        <w:rPr>
          <w:sz w:val="24"/>
          <w:rFonts w:ascii="Times New Roman" w:hAnsi="Times New Roman"/>
        </w:rPr>
        <w:t xml:space="preserve">3.6. Hisobga olish uskunalari ushbu shartnomaga muvofiq, elektr tarmog‘ining mansublik chegarasi boʻyicha farqlash dalolatnomasi va tomonlarning ekspluatatsiya javobgarligi asosida aniqlanadigan elektr tarmogʻining mansublik chegarasida oʻrnatilmaganda, chegaradan hisobga olish uskunalari oʻrnatilgan joygacha boʻlgan tarmoqda energiyaning texnologik sarflanish hajmi “Isteʼmolchi” bilan birgalikda hisoblash yoʻli orqali aniqlanadi yoki taraflar kelishuvi asosida ushbu shartnomaga muvofiq dalolatnomada koʻrsatiladi va elektr tarmogʻining balans boʻyicha mansubligiga qarab “Taʼminotchi”ning va “Iste’molchi”ning hisobiga o‘tkaziladi. </w:t>
      </w:r>
    </w:p>
    <w:p>
      <w:pPr>
        <w:jc w:val="both"/>
        <w:ind w:firstLine="708"/>
        <w:rPr>
          <w:sz w:val="24"/>
          <w:rFonts w:ascii="Times New Roman" w:hAnsi="Times New Roman"/>
        </w:rPr>
      </w:pPr>
      <w:r>
        <w:rPr>
          <w:sz w:val="24"/>
          <w:rFonts w:ascii="Times New Roman" w:hAnsi="Times New Roman"/>
        </w:rPr>
        <w:t xml:space="preserve">3.7. “Isteʼmolchi”ning elektr energiyasi haqini toʻlash, penya boʻyicha qarzi hamda noqonuniy foydalanilgan elektr energiyasi qayta hisob-kitobi boʻlgan taqdirda, uning avans toʻlovi hisobiga oʻtkazilgan mablagʻlari qarzni qoplashga yoʻnaltiriladi va avans toʻlovi (oldindan haq toʻlash) sifatida hisobga olinmaydi. Hisob-kitob oyidan keyingi kalendar oy tugagach qarzdorlik toʻlov muddati oʻtgan deb hisoblanadi va toʻlov muddati oʻtgan har bir kun uchun “Isteʼmolchi”ga toʻlov muddati oʻtgan summaning 0,4 foizi miqdorida penya hisoblab yoziladi. Bunda penyaning umumiy miqdori, muddati oʻtgan toʻlovning 50 foizidan oshmasligi lozim. </w:t>
      </w:r>
    </w:p>
    <w:p>
      <w:pPr>
        <w:jc w:val="both"/>
        <w:ind w:firstLine="708"/>
        <w:rPr>
          <w:sz w:val="24"/>
          <w:rFonts w:ascii="Times New Roman" w:hAnsi="Times New Roman"/>
        </w:rPr>
      </w:pPr>
      <w:r>
        <w:rPr>
          <w:sz w:val="24"/>
          <w:rFonts w:ascii="Times New Roman" w:hAnsi="Times New Roman"/>
        </w:rPr>
        <w:t xml:space="preserve">3.8. “Taʼminotchi” yetkazib berilgan elektr enegiya uchun qarzdor boʻlgan “Isteʼmolchi”ga qarzni besh ish kun ichida toʻlanishi haqida xabardor qilishni taʼminlaydi. </w:t>
      </w:r>
    </w:p>
    <w:p>
      <w:pPr>
        <w:jc w:val="both"/>
        <w:ind w:firstLine="708"/>
        <w:rPr>
          <w:sz w:val="24"/>
          <w:rFonts w:ascii="Times New Roman" w:hAnsi="Times New Roman"/>
        </w:rPr>
      </w:pPr>
      <w:r>
        <w:rPr>
          <w:sz w:val="24"/>
          <w:rFonts w:ascii="Times New Roman" w:hAnsi="Times New Roman"/>
        </w:rPr>
        <w:t xml:space="preserve">3.9. “Isteʼmolchi”ning ichki elektr tarmogʻida sodir boʻlgan baxtsiz hodisalar (yongʻin, avariya holatlari, inson oʻlimi bilan bogʻliq hodisalar va hokazolar) uchun “Taʼminotchi” javobgar hisoblanmaydi. </w:t>
      </w:r>
    </w:p>
    <w:p>
      <w:pPr>
        <w:jc w:val="both"/>
        <w:ind w:firstLine="708"/>
        <w:rPr>
          <w:sz w:val="24"/>
          <w:rFonts w:ascii="Times New Roman" w:hAnsi="Times New Roman"/>
        </w:rPr>
      </w:pPr>
      <w:r>
        <w:rPr>
          <w:sz w:val="24"/>
          <w:rFonts w:ascii="Times New Roman" w:hAnsi="Times New Roman"/>
        </w:rPr>
        <w:t xml:space="preserve">3.10. Toʻlov “Iste’molchi” tomonidan “Ta’minotchi”ning mazkur Shartnomada koʻrsatilgan hisob raqamiga amalga oshiriladi. </w:t>
      </w:r>
    </w:p>
    <w:p>
      <w:pPr>
        <w:jc w:val="both"/>
        <w:ind w:firstLine="708"/>
        <w:rPr>
          <w:sz w:val="24"/>
          <w:rFonts w:ascii="Times New Roman" w:hAnsi="Times New Roman"/>
        </w:rPr>
      </w:pPr>
      <w:r>
        <w:rPr>
          <w:sz w:val="24"/>
          <w:rFonts w:ascii="Times New Roman" w:hAnsi="Times New Roman"/>
        </w:rPr>
        <w:t xml:space="preserve">3.11. Toʻlov sanasi boʻlib, pul mablagʻlari “Ta’minotchi”ning hisob raqamiga oʻtkazilgan sana hisoblanadi. </w:t>
      </w:r>
    </w:p>
    <w:p>
      <w:pPr>
        <w:jc w:val="center"/>
        <w:ind w:firstLine="708"/>
        <w:rPr>
          <w:b/>
          <w:sz w:val="24"/>
          <w:rFonts w:ascii="Times New Roman" w:hAnsi="Times New Roman"/>
        </w:rPr>
      </w:pPr>
      <w:r>
        <w:rPr>
          <w:b/>
          <w:sz w:val="24"/>
          <w:rFonts w:ascii="Times New Roman" w:hAnsi="Times New Roman"/>
        </w:rPr>
        <w:t xml:space="preserve">IV. TOMONLARNING HUQUQ VA MAJBURIYATLARI</w:t>
      </w:r>
    </w:p>
    <w:p>
      <w:pPr>
        <w:jc w:val="both"/>
        <w:ind w:firstLine="708"/>
        <w:rPr>
          <w:sz w:val="24"/>
          <w:rFonts w:ascii="Times New Roman" w:hAnsi="Times New Roman"/>
        </w:rPr>
      </w:pPr>
      <w:r>
        <w:rPr>
          <w:sz w:val="24"/>
          <w:rFonts w:ascii="Times New Roman" w:hAnsi="Times New Roman"/>
        </w:rPr>
        <w:t xml:space="preserve">4.1. “Isteʼmolchi” quyidagi huquqlarga ega: Elektr energiyasi yetkazib berishning toʻxtalishi yoki toʻxtatib qoʻyilishi sabablari toʻgʻrisida belgilangan tartibda axborot olish; “Taʼminotchi” vakillari kelganda ular kelganligini qayd etish daftari(shnurlangan holda) tutilgan taqdirda unga kelgan vakil tomonidan belgilangan tartibda oʻzi toʻgʻrisida maʼlumotlarni (F.I.O, buyruq raqami va sanasi, lavozimi, sana, kelgan vaqt, kelish sababi va boshqalar) yozma toʻldirib, imzo qo‘yishni talab qilish; “Isteʼmolchi” qonun hujjatlariga muvofiq boshqa huquqlarga ham ega. </w:t>
      </w:r>
    </w:p>
    <w:p>
      <w:pPr>
        <w:jc w:val="both"/>
        <w:ind w:firstLine="708"/>
        <w:rPr>
          <w:sz w:val="24"/>
          <w:rFonts w:ascii="Times New Roman" w:hAnsi="Times New Roman"/>
        </w:rPr>
      </w:pPr>
      <w:r>
        <w:rPr>
          <w:sz w:val="24"/>
          <w:rFonts w:ascii="Times New Roman" w:hAnsi="Times New Roman"/>
        </w:rPr>
        <w:t xml:space="preserve">4.2. “Isteʼmolchi” quyidagilarga majbur: Shartnoma tomonlar oʻrtasida tegishlicha rasmiylashtirilgandan soʻng, “Iste’molchi” tomonidan tegishli g‘aznachilik bo‘linmasida oʻrnatilgan tartibda 5 (besh) ish kuni ichida ro‘yxatdan oʻtkazishni taʼminlash; “Taʼminotchi” tomonidan yetkazib berilgan elektr energiyasi uchun oʻz vaqtida haq toʻlash; “Iste’molchi” binosiga oʻrnatilgan elektr qurilmalar, asbob-uskunalarning soz holda saqlanishini taʼminlash hamda asbob-uskunalarining nosozligi toʻgʻrisida xabar qilish; Elektr qurilmalarining tuzilishi qoidalari talablariga rioya etish; “Taʼminotchi” vakili tashrif buyurganda qonunbuzilish holati aniqlanganda yoki aniqlanmagan taqdirda belgilangan tartibda va shaklda dalolatnoma rasmiylashtirib, uni bir nusxasi taqdim etilishini talab qilish; “Iste’molchi”ning nomi, joylashgan joyi yoki bank rekvizitlari o‘zgargan taqdirda, “Ta’minotchi”ni 5 (besh) ish kunida qabul qiluvchi tomonidan bunday xabarni olganligini tasdiqlash uchun har qanday mavjud vositalar bilan yozma ravishda xabardor qilish; Isteʼmolchining aybi bilan Ta’minotchi tomonidan o‘rnatilgan elektr hisoblagich buzilgan taqdirda, uni o‘z mablag‘laridan almashtirish, ta’mirlash, davlat tomonidan tekshirish va o‘rnatishni amalga oshirish yoki yetkazilgan zararni to‘liq to‘lab berish; “Isteʼmolchi” qonun hujjatlariga muvofiq boshqa majburiyatlarga ham ega. </w:t>
      </w:r>
    </w:p>
    <w:p>
      <w:pPr>
        <w:jc w:val="both"/>
        <w:ind w:firstLine="708"/>
        <w:rPr>
          <w:sz w:val="24"/>
          <w:rFonts w:ascii="Times New Roman" w:hAnsi="Times New Roman"/>
        </w:rPr>
      </w:pPr>
      <w:r>
        <w:rPr>
          <w:sz w:val="24"/>
          <w:rFonts w:ascii="Times New Roman" w:hAnsi="Times New Roman"/>
        </w:rPr>
        <w:t xml:space="preserve">4.3. Taʼminotchi quyidagi huquqlarga ega: “Taʼminotchi” tomonidan o‘rnatilgan qayta tiklanuvchi energiya manbalari qurilmalarini “Isteʼmolchi”ning elektr qurilmalariga amaldagi texnik hujjatlar talablariga muvofiq oʻrnatilgan tartibda ulash; “Isteʼmolchi”lardan elektr taʼminoti shartnomasida belgilangan majburiyatlarni tegishli darajada bajarishni talab etish; “Iste’molchi”dan Shartnoma bo‘yicha majburiyatlarni bajarish uchun zarur bo‘lgan mavjud ma’lumotlar va hujjatlarni so‘rashga haqli; “Isteʼmolchi”lar tomonidan elektr taʼminoti shartnomasi shartlari bajarilmasligi yoki buzilishi oqibatida “Ta’minotchi”ga yetkazilgan zararni belgilangan tartibda qoplanishi talab etish; “Taʼminotchi” qonunchilikda belgilangan boshqa huquqlarga ham ega boʻlishi mumkin. </w:t>
      </w:r>
    </w:p>
    <w:p>
      <w:pPr>
        <w:jc w:val="both"/>
        <w:ind w:firstLine="708"/>
        <w:rPr>
          <w:sz w:val="24"/>
          <w:rFonts w:ascii="Times New Roman" w:hAnsi="Times New Roman"/>
        </w:rPr>
      </w:pPr>
      <w:r>
        <w:rPr>
          <w:sz w:val="24"/>
          <w:rFonts w:ascii="Times New Roman" w:hAnsi="Times New Roman"/>
        </w:rPr>
        <w:t xml:space="preserve">4.4. Taʼminotchi quyidagilarga majbur: “Isteʼmolchi”ga elektr energiyasini elektr tarmogʻi orqali elektr tarmoqlarining balans boʻyicha mansublik boʻlinish chegarasigacha yetkazib berish; uskunalar, hisobga olish uskunalaridan foydalanish, ularga servis va texnik xizmat koʻrsatish va taʼmirlash, shuningdek oʻz elektr xoʻjaligi obyektlaridagi nosozliklarni bartaraf qilish; qurilmalarni taʼmirlash tufayli elektr energiyasi bilan taʼminlashdagi mumkin boʻlgan uzilishlar toʻgʻrisida kamida 3 (uch) kalendar kun oldin ogohlantirish; “Isteʼmolchi”ga oʻrnatilgan tartibda yetkazib berilgan energiya hisobini yuritish; “Isteʼmolchi”da oʻrnatilgan hisobga olish uskunalarini almashtirish va oʻrnatish, plombalashni taʼminlash; “Isteʼmolchi”ning sarflagan elektr energiyasi uchun qarzi vujudga kelganda qarzni besh kun muddatda toʻlash zarurligi toʻgʻrisida xabardor qilish; “Isteʼmolchi”ga kuzatish, oʻrganish yoki tekshirish uchun borganida qonun buzilish holati aniqlanishidan qatʼi nazar belgilangan tartibda dalolatnoma rasmiylashtirilib bir nusxasini “Isteʼmolchi”ga taqdim etish; “Ta’minotchi”ning nomi, joylashgan joyi yoki bank rekvizitlari o‘zgargan taqdirda, “Iste’molchi”ni 5 (besh) ish kunida qabul qiluvchi tomonidan bunday xabarni olganligini tasdiqlash uchun har qanday mavjud vositalar bilan yozma ravishda xabardor qilish; “Taʼminotchi” qonunchilikka muvofiq boshqa majburiyatlarga ham ega. </w:t>
      </w:r>
    </w:p>
    <w:p>
      <w:pPr>
        <w:jc w:val="center"/>
        <w:ind w:firstLine="708"/>
        <w:rPr>
          <w:b/>
          <w:sz w:val="24"/>
          <w:rFonts w:ascii="Times New Roman" w:hAnsi="Times New Roman"/>
        </w:rPr>
      </w:pPr>
      <w:r>
        <w:rPr>
          <w:b/>
          <w:sz w:val="24"/>
          <w:rFonts w:ascii="Times New Roman" w:hAnsi="Times New Roman"/>
        </w:rPr>
        <w:t xml:space="preserve">V. TOMONLARNING JAVOBGARLIGI</w:t>
      </w:r>
    </w:p>
    <w:p>
      <w:pPr>
        <w:jc w:val="both"/>
        <w:ind w:firstLine="708"/>
        <w:rPr>
          <w:sz w:val="24"/>
          <w:rFonts w:ascii="Times New Roman" w:hAnsi="Times New Roman"/>
        </w:rPr>
      </w:pPr>
      <w:r>
        <w:rPr>
          <w:sz w:val="24"/>
          <w:rFonts w:ascii="Times New Roman" w:hAnsi="Times New Roman"/>
        </w:rPr>
        <w:t xml:space="preserve"> 5.1. Elektr taʼminoti shartnomasi boʻyicha taraflar Oʻzbekiston Respublikasi qonunchiligida belgilangan tartibda javobgar boʻladi, shuningdek shartnoma shartlari bajarilmagan yoki tegishli tarzda bajarilmagan hollarda, “Taʼminotchi” buning natijasida yetkazilgan haqiqiy zararni talab qilishga, “Isteʼmolchi” esa yetkazilgan haqiqiy zararni qoplashga majbur. </w:t>
      </w:r>
    </w:p>
    <w:p>
      <w:pPr>
        <w:jc w:val="both"/>
        <w:ind w:firstLine="708"/>
        <w:rPr>
          <w:sz w:val="24"/>
          <w:rFonts w:ascii="Times New Roman" w:hAnsi="Times New Roman"/>
        </w:rPr>
      </w:pPr>
      <w:r>
        <w:rPr>
          <w:sz w:val="24"/>
          <w:rFonts w:ascii="Times New Roman" w:hAnsi="Times New Roman"/>
        </w:rPr>
        <w:t xml:space="preserve">5.2. Kichik quvvatli qayta tiklanuvchi energiya ishlab chiqaruvchi uskunalar “Ta’minotchi”ning mulki hisoblanadi va mulk “Iste’molchi” hududiga joylashtirilganligi bois, Shartnomaga muvofiq tuzilgan topshirish-qabul qilish dalolatnomasiga asosan uskunalarni but holda saqlash javobgarligi “Iste’molchi”ning zimmasiga yuklatiladi. “Iste’molchi”ning mas’uliyatsizligi natijasida “Ta’minotchi” mulkiga zarar yetsa, yetkazilgan zarar summasi va boy berilgan foyda “Iste’molchi” tomonidan “Ta’minotchi”ga to‘lab beriladi. Fors-major holatlar bundan mustasno. “Iste’molchi” tomonidan kichik quvvatli qayta tiklanuvchi energiya ishlab chiqaruvchi uskunalar tarmoqdan uzib qo‘yilgan holatlar aniqlanganda, “Iste’molchi” “Ta’minotchi”ga yetkazilgan zararning, shuningdek boy berilgan foydaning to‘la qoplanishini ta’minlaydi. </w:t>
      </w:r>
    </w:p>
    <w:p>
      <w:pPr>
        <w:jc w:val="both"/>
        <w:ind w:firstLine="708"/>
        <w:rPr>
          <w:sz w:val="24"/>
          <w:rFonts w:ascii="Times New Roman" w:hAnsi="Times New Roman"/>
        </w:rPr>
      </w:pPr>
      <w:r>
        <w:rPr>
          <w:sz w:val="24"/>
          <w:rFonts w:ascii="Times New Roman" w:hAnsi="Times New Roman"/>
        </w:rPr>
        <w:t xml:space="preserve">5.3. Tomonlar ularning xohish va harakatlariga bogʻliq boʻlmagan tabiiy ofatlar yoki ijtimoiy-iqtisodiy vaziyatlar sababli ushbu sharoitlarda qaytarib boʻlmaydigan va oldindan bilib boʻlmaydigan favqulodda holatlarni oʻz ichiga olgan yengib boʻlmas kuch (fors-major) oqibatida oʻz zimmasiga olingan majburiyatlarni bajara olmasa, tomonlardan hech biri oʻz majburiyatlarini toʻliq yoki qisman bajarmagani uchun javob bermaydi. </w:t>
      </w:r>
    </w:p>
    <w:p>
      <w:pPr>
        <w:jc w:val="both"/>
        <w:ind w:firstLine="708"/>
        <w:rPr>
          <w:sz w:val="24"/>
          <w:rFonts w:ascii="Times New Roman" w:hAnsi="Times New Roman"/>
        </w:rPr>
      </w:pPr>
      <w:r>
        <w:rPr>
          <w:sz w:val="24"/>
          <w:rFonts w:ascii="Times New Roman" w:hAnsi="Times New Roman"/>
        </w:rPr>
        <w:t xml:space="preserve">5.4. Shartnoma shartlarini buzgan tomonga huquqlari buzilgan tomon da’vo xati yuborishi mumkin. Da’vo xatini ko‘rib chiqish muddati adresat tomonidan olingan kundan boshlab 10 (o‘n) kalendar kunini tashkil etadi. Bunday holda, javobgar da’vo olingan kundan boshlab 10 (o‘n) kalendar kundan ortiq bo‘lmagan muddatda qarz va neustoykalarni to‘lab berishi yoki to‘lovni amalga oshirmaslikning asosli sabablarini ikkinchi tomonga yozma ravishda taqdim etishi lozim. </w:t>
      </w:r>
    </w:p>
    <w:p>
      <w:pPr>
        <w:jc w:val="both"/>
        <w:ind w:firstLine="708"/>
        <w:rPr>
          <w:sz w:val="24"/>
          <w:rFonts w:ascii="Times New Roman" w:hAnsi="Times New Roman"/>
        </w:rPr>
      </w:pPr>
      <w:r>
        <w:rPr>
          <w:sz w:val="24"/>
          <w:rFonts w:ascii="Times New Roman" w:hAnsi="Times New Roman"/>
        </w:rPr>
        <w:t xml:space="preserve">5.5. Mazkur shartnomani bajarish jarayonida yuzaga keladigan barcha kelishmovchilik va nizolar muzokara oʻtkazish orqali hal qilinadi. Kelishmovchiliklarni muzokara oʻtkazish orqali hal qilishning iloji boʻlmaganda, shartnomada ko‘rsatilgan muddatlarni hisobga olgan holda ular qonunchilikda belgilangan sud tartibida hal qilinadi. </w:t>
      </w:r>
    </w:p>
    <w:p>
      <w:pPr>
        <w:jc w:val="center"/>
        <w:ind w:firstLine="708"/>
        <w:rPr>
          <w:b/>
          <w:sz w:val="24"/>
          <w:rFonts w:ascii="Times New Roman" w:hAnsi="Times New Roman"/>
        </w:rPr>
      </w:pPr>
      <w:r>
        <w:rPr>
          <w:b/>
          <w:sz w:val="24"/>
          <w:rFonts w:ascii="Times New Roman" w:hAnsi="Times New Roman"/>
        </w:rPr>
        <w:t xml:space="preserve">VI. KORRUPSIYAGA QARSHI SHARTLASHUV</w:t>
      </w:r>
    </w:p>
    <w:p>
      <w:pPr>
        <w:jc w:val="both"/>
        <w:ind w:firstLine="708"/>
        <w:rPr>
          <w:sz w:val="24"/>
          <w:rFonts w:ascii="Times New Roman" w:hAnsi="Times New Roman"/>
        </w:rPr>
      </w:pPr>
      <w:r>
        <w:rPr>
          <w:sz w:val="24"/>
          <w:rFonts w:ascii="Times New Roman" w:hAnsi="Times New Roman"/>
        </w:rPr>
        <w:t xml:space="preserve">6.1. Ushbu shartnomaning har bir tomoni oʻziga nisbatan qoʻllaniladigan barcha, shu jumladan Oʻzbekiston Respublikasining amaldagi qonunchilik va normativ hujjatlaridagi Korrupsiyaga qarshi tegishli shartlar va talablarni tushunishi haqida bir-birini ishontiradi va ularga amal qilishini kafolatlaydi. </w:t>
      </w:r>
    </w:p>
    <w:p>
      <w:pPr>
        <w:jc w:val="center"/>
        <w:ind w:firstLine="708"/>
        <w:rPr>
          <w:b/>
          <w:sz w:val="24"/>
          <w:rFonts w:ascii="Times New Roman" w:hAnsi="Times New Roman"/>
        </w:rPr>
      </w:pPr>
      <w:r>
        <w:rPr>
          <w:b/>
          <w:sz w:val="24"/>
          <w:rFonts w:ascii="Times New Roman" w:hAnsi="Times New Roman"/>
        </w:rPr>
        <w:t xml:space="preserve">VII. YAKUNIY SHARTLAR</w:t>
      </w:r>
    </w:p>
    <w:p>
      <w:pPr>
        <w:jc w:val="both"/>
        <w:ind w:firstLine="708"/>
        <w:rPr>
          <w:sz w:val="24"/>
          <w:rFonts w:ascii="Times New Roman" w:hAnsi="Times New Roman"/>
        </w:rPr>
      </w:pPr>
      <w:r>
        <w:rPr>
          <w:sz w:val="24"/>
          <w:rFonts w:ascii="Times New Roman" w:hAnsi="Times New Roman"/>
        </w:rPr>
        <w:t xml:space="preserve">7.1. Shartnoma taraflar tomonidan imzolangan va tegishli g‘aznachilik bo‘linmasida ro‘yxatdan o‘tkazilgan kundan kuchga kiradi. Shartnoma </w:t>
      </w:r>
      <w:r>
        <w:rPr>
          <w:vanish w:val="false"/>
          <w:sz w:val="24"/>
          <w:rFonts w:ascii="Times New Roman" w:hAnsi="Times New Roman"/>
        </w:rPr>
        <w:fldChar w:fldCharType="begin"/>
        <w:instrText xml:space="preserve">X {"Y":17}</w:instrText>
        <w:fldChar w:fldCharType="separate"/>
        <w:t xml:space="preserve">Shartnoma amal qiladigan sana</w:t>
      </w:r>
      <w:r>
        <w:rPr>
          <w:vanish w:val="false"/>
          <w:sz w:val="24"/>
          <w:rFonts w:ascii="Times New Roman" w:hAnsi="Times New Roman"/>
        </w:rPr>
        <w:fldChar w:fldCharType="end"/>
      </w:r>
      <w:r>
        <w:rPr>
          <w:sz w:val="24"/>
          <w:rFonts w:ascii="Times New Roman" w:hAnsi="Times New Roman"/>
        </w:rPr>
        <w:t xml:space="preserve">gacha boʻlgan muddatga tuzildi. </w:t>
      </w:r>
    </w:p>
    <w:p>
      <w:pPr>
        <w:jc w:val="both"/>
        <w:ind w:firstLine="708"/>
        <w:rPr>
          <w:sz w:val="24"/>
          <w:rFonts w:ascii="Times New Roman" w:hAnsi="Times New Roman"/>
        </w:rPr>
      </w:pPr>
      <w:r>
        <w:rPr>
          <w:sz w:val="24"/>
          <w:rFonts w:ascii="Times New Roman" w:hAnsi="Times New Roman"/>
        </w:rPr>
        <w:t xml:space="preserve">7.2. Mazkur shartnoma bir xil yuridik kuchga ega boʻlgan va tomonlarning har birida saqlanayotgan ikki nusxada tuzilgan. Shartnomaning ilovalari va qo‘shimcha kelishuv bitimlari uning ajralmas qismi hisoblanadi. </w:t>
      </w:r>
    </w:p>
    <w:p>
      <w:pPr>
        <w:jc w:val="both"/>
        <w:ind w:firstLine="708"/>
        <w:rPr>
          <w:sz w:val="24"/>
          <w:rFonts w:ascii="Times New Roman" w:hAnsi="Times New Roman"/>
        </w:rPr>
      </w:pPr>
      <w:r>
        <w:rPr>
          <w:sz w:val="24"/>
          <w:rFonts w:ascii="Times New Roman" w:hAnsi="Times New Roman"/>
        </w:rPr>
        <w:t xml:space="preserve">7.3. Tomonlarning birini tashabbusi bilan shartnomani muddatidan oldin bekor qilish, ikkinchi tomonni bekor qilish muddatidan oʻttiz kun oldin yozma xabardor qilgan holda va tomonlar oʻzaro hisob-kitob qilishi sharti bilan bekor qilinishi mumkin. Bekor qilish toʻgʻrisida xabarnoma yozma ravishda yuboriladi. </w:t>
      </w:r>
    </w:p>
    <w:p>
      <w:pPr>
        <w:jc w:val="both"/>
        <w:ind w:firstLine="708"/>
        <w:rPr>
          <w:sz w:val="24"/>
          <w:rFonts w:ascii="Times New Roman" w:hAnsi="Times New Roman"/>
        </w:rPr>
      </w:pPr>
      <w:r>
        <w:rPr>
          <w:sz w:val="24"/>
          <w:rFonts w:ascii="Times New Roman" w:hAnsi="Times New Roman"/>
        </w:rPr>
        <w:t xml:space="preserve">7.4. Barcha oʻzgartirish va qoʻshimchalar, agar ular faqat yozma ravishda amalga oshirilib, tomonlarning vakolatli shaxslar tomonidan imzolangan boʻlsa, haqiqiy hisoblanadi. </w:t>
      </w:r>
    </w:p>
    <w:p>
      <w:pPr>
        <w:jc w:val="both"/>
        <w:ind w:firstLine="708"/>
        <w:rPr>
          <w:sz w:val="24"/>
          <w:rFonts w:ascii="Times New Roman" w:hAnsi="Times New Roman"/>
        </w:rPr>
      </w:pPr>
      <w:r>
        <w:rPr>
          <w:sz w:val="24"/>
          <w:rFonts w:ascii="Times New Roman" w:hAnsi="Times New Roman"/>
        </w:rPr>
        <w:t xml:space="preserve">7.5. Mazkur shartnoma talablarida nazarda tutilmagan tartib-qoidalar boshqa amaldagi normativ-huquqiy hujjatlar talablariga muvofiq tartibga solinadi. </w:t>
      </w:r>
    </w:p>
    <w:p>
      <w:pPr>
        <w:ind w:firstLine="708"/>
        <w:rPr>
          <w:b/>
          <w:sz w:val="24"/>
          <w:rFonts w:ascii="Times New Roman" w:hAnsi="Times New Roman"/>
        </w:rPr>
      </w:pPr>
      <w:r>
        <w:rPr>
          <w:b/>
          <w:sz w:val="24"/>
          <w:rFonts w:ascii="Times New Roman" w:hAnsi="Times New Roman"/>
        </w:rPr>
        <w:t xml:space="preserve">VIII. TOMONLARNING MANZILLARI VA BANK REKVIZITLARI</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531"/>
        <w:gridCol w:w="4814"/>
      </w:tblGrid>
      <w:tr>
        <w:tc>
          <w:tcPr>
            <w:tcW w:w="4531" w:type="dxa"/>
          </w:tcPr>
          <w:p>
            <w:pPr>
              <w:rPr>
                <w:b/>
                <w:sz w:val="24"/>
                <w:rFonts w:ascii="Times New Roman" w:hAnsi="Times New Roman"/>
              </w:rPr>
            </w:pPr>
            <w:r>
              <w:rPr>
                <w:b/>
                <w:sz w:val="24"/>
                <w:rFonts w:ascii="Times New Roman" w:hAnsi="Times New Roman"/>
              </w:rPr>
              <w:t xml:space="preserve">TAʼMINOTCHI KORXONA:</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{"Y":19}</w:instrText>
              <w:fldChar w:fldCharType="separate"/>
              <w:t xml:space="preserve">Ta’minotchi korxonaning yuridik manzili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{"Y":20}</w:instrText>
              <w:fldChar w:fldCharType="separate"/>
              <w:t xml:space="preserve">Ta’minotchi korxonaning hisob raqami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{"Y":21}</w:instrText>
              <w:fldChar w:fldCharType="separate"/>
              <w:t xml:space="preserve">Ta’minotchi korxonaning bank kodi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STIR: </w:t>
            </w:r>
            <w:r>
              <w:rPr>
                <w:b/>
                <w:vanish w:val="false"/>
                <w:sz w:val="24"/>
                <w:rFonts w:ascii="Times New Roman" w:hAnsi="Times New Roman"/>
              </w:rPr>
              <w:fldChar w:fldCharType="begin"/>
              <w:instrText xml:space="preserve">X {"Y":22}</w:instrText>
              <w:fldChar w:fldCharType="separate"/>
              <w:t xml:space="preserve">Ta’minotchi korxonaning STIR raqami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QQS kodi </w:t>
            </w:r>
            <w:r>
              <w:rPr>
                <w:b/>
                <w:vanish w:val="false"/>
                <w:sz w:val="24"/>
                <w:rFonts w:ascii="Times New Roman" w:hAnsi="Times New Roman"/>
              </w:rPr>
              <w:fldChar w:fldCharType="begin"/>
              <w:instrText xml:space="preserve">X {"Y":23}</w:instrText>
              <w:fldChar w:fldCharType="separate"/>
              <w:t xml:space="preserve">Ta’minotchi korxonaning QQS to‘lovchi kodi</w:t>
            </w:r>
            <w:r>
              <w:rPr>
                <w:b/>
                <w:vanish w:val="false"/>
                <w:sz w:val="24"/>
                <w:rFonts w:ascii="Times New Roman" w:hAnsi="Times New Roman"/>
              </w:rPr>
              <w:fldChar w:fldCharType="end"/>
            </w:r>
          </w:p>
          <w:p>
            <w:pPr>
              <w:rPr>
                <w:b/>
                <w:sz w:val="24"/>
                <w:rFonts w:ascii="Times New Roman" w:hAnsi="Times New Roman"/>
              </w:rPr>
            </w:pPr>
            <w:r>
              <w:rPr>
                <w:b/>
                <w:vanish w:val="false"/>
                <w:sz w:val="24"/>
                <w:rFonts w:ascii="Times New Roman" w:hAnsi="Times New Roman"/>
              </w:rPr>
              <w:fldChar w:fldCharType="begin"/>
              <w:instrText xml:space="preserve">X {"Y":24}</w:instrText>
              <w:fldChar w:fldCharType="separate"/>
              <w:t xml:space="preserve">Ta’minotchi korxonada mijozlar bilan ishlash bo‘limining telefon raqami</w:t>
            </w:r>
            <w:r>
              <w:rPr>
                <w:b/>
                <w:vanish w:val="false"/>
                <w:sz w:val="24"/>
                <w:rFonts w:ascii="Times New Roman" w:hAnsi="Times New Roman"/>
              </w:rPr>
              <w:fldChar w:fldCharType="end"/>
            </w:r>
          </w:p>
          <w:p>
            <w:pPr>
              <w:rPr>
                <w:b/>
                <w:sz w:val="24"/>
                <w:rFonts w:ascii="Times New Roman" w:hAnsi="Times New Roman"/>
              </w:rPr>
            </w:pPr>
            <w:r>
              <w:rPr>
                <w:b/>
                <w:vanish w:val="false"/>
                <w:sz w:val="24"/>
                <w:rFonts w:ascii="Times New Roman" w:hAnsi="Times New Roman"/>
              </w:rPr>
              <w:fldChar w:fldCharType="begin"/>
              <w:instrText xml:space="preserve">X {"Y":25}</w:instrText>
              <w:fldChar w:fldCharType="separate"/>
              <w:t xml:space="preserve">Ta’minotchi korxonaning texnik ishlar bo‘yicha telefon raqami</w:t>
            </w:r>
            <w:r>
              <w:rPr>
                <w:b/>
                <w:vanish w:val="false"/>
                <w:sz w:val="24"/>
                <w:rFonts w:ascii="Times New Roman" w:hAnsi="Times New Roman"/>
              </w:rPr>
              <w:fldChar w:fldCharType="end"/>
            </w:r>
          </w:p>
          <w:p>
            <w:pPr>
              <w:rPr>
                <w:b/>
                <w:sz w:val="24"/>
                <w:rFonts w:ascii="Times New Roman" w:hAnsi="Times New Roman"/>
              </w:rPr>
            </w:pPr>
          </w:p>
        </w:tc>
        <w:tc>
          <w:tcPr>
            <w:tcW w:w="4814" w:type="dxa"/>
          </w:tcPr>
          <w:p>
            <w:pPr>
              <w:rPr>
                <w:b/>
                <w:sz w:val="24"/>
                <w:rFonts w:ascii="Times New Roman" w:hAnsi="Times New Roman"/>
              </w:rPr>
            </w:pPr>
            <w:r>
              <w:rPr>
                <w:b/>
                <w:sz w:val="24"/>
                <w:rFonts w:ascii="Times New Roman" w:hAnsi="Times New Roman"/>
              </w:rPr>
              <w:t>ISTEʼMOLCHI:</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{"Y":26}</w:instrText>
              <w:fldChar w:fldCharType="separate"/>
              <w:t xml:space="preserve"> Iste’molchining yuridik manzili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{"Y":27}</w:instrText>
              <w:fldChar w:fldCharType="separate"/>
              <w:t xml:space="preserve">Iste’molchining hisob raqami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{"Y":28}</w:instrText>
              <w:fldChar w:fldCharType="separate"/>
              <w:t xml:space="preserve">Iste’molchining bank kodi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STIR: </w:t>
            </w:r>
            <w:r>
              <w:rPr>
                <w:b/>
                <w:vanish w:val="false"/>
                <w:sz w:val="24"/>
                <w:rFonts w:ascii="Times New Roman" w:hAnsi="Times New Roman"/>
              </w:rPr>
              <w:fldChar w:fldCharType="begin"/>
              <w:instrText xml:space="preserve">X {"Y":29}</w:instrText>
              <w:fldChar w:fldCharType="separate"/>
              <w:t xml:space="preserve">Iste’molchining STIR raqami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QQS kodi </w:t>
            </w:r>
            <w:r>
              <w:rPr>
                <w:b/>
                <w:vanish w:val="false"/>
                <w:sz w:val="24"/>
                <w:rFonts w:ascii="Times New Roman" w:hAnsi="Times New Roman"/>
              </w:rPr>
              <w:fldChar w:fldCharType="begin"/>
              <w:instrText xml:space="preserve">X {"Y":30}</w:instrText>
              <w:fldChar w:fldCharType="separate"/>
              <w:t xml:space="preserve">Iste’molchining QQS to‘lovchi kodi</w:t>
            </w:r>
            <w:r>
              <w:rPr>
                <w:b/>
                <w:vanish w:val="false"/>
                <w:sz w:val="24"/>
                <w:rFonts w:ascii="Times New Roman" w:hAnsi="Times New Roman"/>
              </w:rPr>
              <w:fldChar w:fldCharType="end"/>
            </w:r>
          </w:p>
          <w:p>
            <w:pPr>
              <w:rPr>
                <w:b/>
                <w:sz w:val="24"/>
                <w:rFonts w:ascii="Times New Roman" w:hAnsi="Times New Roman"/>
              </w:rPr>
            </w:pPr>
            <w:r>
              <w:rPr>
                <w:b/>
                <w:vanish w:val="false"/>
                <w:sz w:val="24"/>
                <w:rFonts w:ascii="Times New Roman" w:hAnsi="Times New Roman"/>
              </w:rPr>
              <w:fldChar w:fldCharType="begin"/>
              <w:instrText xml:space="preserve">X {"Y":31}</w:instrText>
              <w:fldChar w:fldCharType="separate"/>
              <w:t xml:space="preserve">Iste’molchining telefon raqami</w:t>
            </w:r>
            <w:r>
              <w:rPr>
                <w:b/>
                <w:vanish w:val="false"/>
                <w:sz w:val="24"/>
                <w:rFonts w:ascii="Times New Roman" w:hAnsi="Times New Roman"/>
              </w:rPr>
              <w:fldChar w:fldCharType="end"/>
            </w:r>
          </w:p>
          <w:p>
            <w:pPr>
              <w:rPr>
                <w:b/>
                <w:sz w:val="24"/>
                <w:rFonts w:ascii="Times New Roman" w:hAnsi="Times New Roman"/>
              </w:rPr>
            </w:pPr>
            <w:r>
              <w:rPr>
                <w:b/>
                <w:vanish w:val="false"/>
                <w:sz w:val="24"/>
                <w:rFonts w:ascii="Times New Roman" w:hAnsi="Times New Roman"/>
              </w:rPr>
              <w:fldChar w:fldCharType="begin"/>
              <w:instrText xml:space="preserve">X {"Y":32}</w:instrText>
              <w:fldChar w:fldCharType="separate"/>
              <w:t xml:space="preserve">Iste’molchining kadastr raqami</w:t>
            </w:r>
            <w:r>
              <w:rPr>
                <w:b/>
                <w:vanish w:val="false"/>
                <w:sz w:val="24"/>
                <w:rFonts w:ascii="Times New Roman" w:hAnsi="Times New Roman"/>
              </w:rPr>
              <w:fldChar w:fldCharType="end"/>
            </w:r>
          </w:p>
          <w:p>
            <w:pPr>
              <w:rPr>
                <w:b/>
                <w:sz w:val="24"/>
                <w:rFonts w:ascii="Times New Roman" w:hAnsi="Times New Roman"/>
              </w:rPr>
            </w:pPr>
          </w:p>
        </w:tc>
      </w:tr>
    </w:tbl>
    <w:p>
      <w:pPr>
        <w:ind w:firstLine="708"/>
        <w:rPr>
          <w:b/>
          <w:sz w:val="24"/>
          <w:rFonts w:ascii="Times New Roman" w:hAnsi="Times New Roman"/>
        </w:rPr>
      </w:pPr>
    </w:p>
    <w:p>
      <w:pPr>
        <w:ind w:firstLine="708"/>
        <w:rPr>
          <w:b/>
          <w:sz w:val="24"/>
          <w:rFonts w:ascii="Times New Roman" w:hAnsi="Times New Roman"/>
        </w:rPr>
      </w:pPr>
    </w:p>
    <w:p>
      <w:pPr>
        <w:ind w:firstLine="708"/>
        <w:rPr>
          <w:b/>
          <w:sz w:val="24"/>
          <w:rFonts w:ascii="Times New Roman" w:hAnsi="Times New Roman"/>
        </w:rPr>
      </w:pPr>
    </w:p>
    <w:p>
      <w:pPr>
        <w:ind w:firstLine="708"/>
        <w:rPr>
          <w:b/>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20"/>
  <w:doNotDisplayPageBoundarie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6B4"/>
    <w:rsid w:val="001C7D15"/>
    <w:rsid w:val="001E16B4"/>
    <w:rsid w:val="00227ABE"/>
    <w:rsid w:val="00263148"/>
    <w:rsid w:val="00263C0C"/>
    <w:rsid w:val="006E7FA7"/>
    <w:rsid w:val="00752E69"/>
    <w:rsid w:val="008B671C"/>
    <w:rsid w:val="009A69C0"/>
    <w:rsid w:val="009C5E11"/>
    <w:rsid w:val="009C7DC9"/>
    <w:rsid w:val="009D1B85"/>
    <w:rsid w:val="00B23896"/>
    <w:rsid w:val="00BD16C2"/>
    <w:rsid w:val="00C33948"/>
    <w:rsid w:val="00C65F8D"/>
    <w:rsid w:val="00D86B82"/>
    <w:rsid w:val="00DB55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39663"/>
  <w15:chartTrackingRefBased/>
  <w15:docId w15:val="{EEC2CB89-9BAB-460D-A185-3DFCF1E39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A69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ructures">
    <w:name w:val="structures"/>
    <w:basedOn w:val="a0"/>
    <w:rsid w:val="009A69C0"/>
  </w:style>
  <w:style w:type="table" w:styleId="a4">
    <w:name w:val="Table Grid"/>
    <w:basedOn w:val="a1"/>
    <w:uiPriority w:val="39"/>
    <w:rsid w:val="006E7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2777</Words>
  <Characters>15830</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Dilorom Matkarimova</cp:lastModifiedBy>
  <cp:revision>2</cp:revision>
  <dcterms:created xsi:type="dcterms:W3CDTF">2025-01-10T13:21:00Z</dcterms:created>
  <dcterms:modified xsi:type="dcterms:W3CDTF">2025-01-10T13:21:00Z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Ta’minotchi korxonaning nomi</w:name>
    <w:value w:hidden="false">
      <w:unit w:active="false"/>
    </w:value>
  </w:element>
  <w:element w:id="7" w:kind="variable" w:type="string" w:valueMode="normal" w:required="false" w:groupID="5">
    <w:identifier xml:space="preserve">ID7</w:identifier>
    <w:name xml:space="preserve">Ta’minotchi korxonaning rahbari familiyasi, ismi, otasining ismi</w:name>
    <w:value w:hidden="false">
      <w:unit w:active="false"/>
    </w:value>
  </w:element>
  <w:element w:id="8" w:kind="variable" w:type="string" w:valueMode="normal" w:required="false" w:groupID="5">
    <w:identifier xml:space="preserve">ID8</w:identifier>
    <w:name xml:space="preserve"> Iste’molchi korxonaning nomi</w:name>
    <w:value w:hidden="false">
      <w:unit w:active="false"/>
    </w:value>
  </w:element>
  <w:element w:id="9" w:kind="variable" w:type="string" w:valueMode="normal" w:required="false" w:groupID="5">
    <w:identifier xml:space="preserve">ID9</w:identifier>
    <w:name xml:space="preserve">Iste’molchi korxona rahbarining familiyasi, ismi, otasining ismi</w:name>
    <w:value w:hidden="false">
      <w:unit w:active="false"/>
    </w:value>
  </w:element>
  <w:element w:id="10" w:kind="category" w:type="string" w:valueMode="normal" w:required="false" w:groupID="10">
    <w:identifier xml:space="preserve">ID10</w:identifier>
    <w:name xml:space="preserve">Shartnoma shartlari</w:name>
    <w:value w:hidden="true">
      <w:unit w:active="false"/>
    </w:value>
  </w:element>
  <w:element w:id="11" w:kind="variable" w:type="string" w:valueMode="normal" w:required="false" w:groupID="10">
    <w:identifier xml:space="preserve">ID11</w:identifier>
    <w:name xml:space="preserve">Elektr energiya isteʼmolining yillik shartnomaviy taxminiy hajmi</w:name>
    <w:value w:hidden="false">
      <w:unit w:active="false"/>
    </w:value>
  </w:element>
  <w:element w:id="12" w:kind="variable" w:type="string" w:valueMode="normal" w:required="false" w:groupID="10">
    <w:identifier xml:space="preserve">ID12</w:identifier>
    <w:name xml:space="preserve">Yetkazib beriladigan energiyaning shartnoma tuzilgan kunidagi umumiy narxi so‘mda</w:name>
    <w:value w:hidden="false">
      <w:unit w:active="false"/>
    </w:value>
  </w:element>
  <w:element w:id="13" w:kind="variable" w:type="string" w:valueMode="normal" w:required="false" w:groupID="10">
    <w:identifier xml:space="preserve">ID13</w:identifier>
    <w:name xml:space="preserve">Yetkazib beriladigan energiyaning shartnoma tuzilgan kunidagi ta’rif bo‘yicha narxi so‘mda</w:name>
    <w:value w:hidden="false">
      <w:unit w:active="false"/>
    </w:value>
  </w:element>
  <w:element w:id="14" w:kind="variable" w:type="string" w:valueMode="normal" w:required="false" w:groupID="10">
    <w:identifier xml:space="preserve">ID14</w:identifier>
    <w:name xml:space="preserve">Byudjet tashkilotlari uchun yetkazib beriladigan energiyaning shartnoma tuzilgan kunidagi ta’rif bo‘yicha narxi so‘mda</w:name>
    <w:value w:hidden="false">
      <w:unit w:active="false"/>
    </w:value>
  </w:element>
  <w:element w:id="15" w:kind="variable" w:type="string" w:valueMode="normal" w:required="false" w:groupID="10">
    <w:identifier xml:space="preserve">ID15</w:identifier>
    <w:name xml:space="preserve">Byudjetdan tashqari mablagʻlar hisobidan qoplanadigan qismi so‘mda</w:name>
    <w:value w:hidden="false">
      <w:unit w:active="false"/>
    </w:value>
  </w:element>
  <w:element w:id="16" w:kind="variable" w:type="string" w:valueMode="normal" w:required="false" w:groupID="10">
    <w:identifier xml:space="preserve">ID16</w:identifier>
    <w:name xml:space="preserve">“Isteʼmolchi”ga yetkazib beriladigan elektr energiyasining oylar kesimidagi yillik taxminiy hajmi miqdori</w:name>
    <w:value w:hidden="false">
      <w:unit w:active="false"/>
    </w:value>
  </w:element>
  <w:element w:id="17" w:kind="variable" w:type="string" w:valueMode="normal" w:required="false" w:groupID="10">
    <w:identifier xml:space="preserve">ID17</w:identifier>
    <w:name xml:space="preserve">Shartnoma amal qiladigan sana</w:name>
    <w:value w:hidden="false">
      <w:unit w:active="false"/>
    </w:value>
  </w:element>
  <w:element w:id="18" w:kind="category" w:type="string" w:valueMode="normal" w:required="false" w:groupID="18">
    <w:identifier xml:space="preserve">ID18</w:identifier>
    <w:name xml:space="preserve">Taraflarning rekvizitlari</w:name>
    <w:value w:hidden="true">
      <w:unit w:active="false"/>
    </w:value>
  </w:element>
  <w:element w:id="19" w:kind="variable" w:type="string" w:valueMode="normal" w:required="false" w:groupID="18">
    <w:identifier xml:space="preserve">ID19</w:identifier>
    <w:name xml:space="preserve">Ta’minotchi korxonaning yuridik manzili</w:name>
    <w:value w:hidden="false">
      <w:unit w:active="false"/>
    </w:value>
  </w:element>
  <w:element w:id="20" w:kind="variable" w:type="string" w:valueMode="normal" w:required="false" w:groupID="18">
    <w:identifier xml:space="preserve">ID20</w:identifier>
    <w:name xml:space="preserve">Ta’minotchi korxonaning hisob raqami</w:name>
    <w:value w:hidden="false">
      <w:unit w:active="false"/>
    </w:value>
  </w:element>
  <w:element w:id="21" w:kind="variable" w:type="string" w:valueMode="normal" w:required="false" w:groupID="18">
    <w:identifier xml:space="preserve">ID21</w:identifier>
    <w:name xml:space="preserve">Ta’minotchi korxonaning bank kodi</w:name>
    <w:value w:hidden="false">
      <w:unit w:active="false"/>
    </w:value>
  </w:element>
  <w:element w:id="22" w:kind="variable" w:type="string" w:valueMode="normal" w:required="false" w:groupID="18">
    <w:identifier xml:space="preserve">ID22</w:identifier>
    <w:name xml:space="preserve">Ta’minotchi korxonaning STIR raqami</w:name>
    <w:value w:hidden="false">
      <w:unit w:active="false"/>
    </w:value>
  </w:element>
  <w:element w:id="23" w:kind="variable" w:type="string" w:valueMode="normal" w:required="false" w:groupID="18">
    <w:identifier xml:space="preserve">ID23</w:identifier>
    <w:name xml:space="preserve">Ta’minotchi korxonaning QQS to‘lovchi kodi</w:name>
    <w:value w:hidden="false">
      <w:unit w:active="false"/>
    </w:value>
  </w:element>
  <w:element w:id="24" w:kind="variable" w:type="string" w:valueMode="normal" w:required="false" w:groupID="18">
    <w:identifier xml:space="preserve">ID24</w:identifier>
    <w:name xml:space="preserve">Ta’minotchi korxonada mijozlar bilan ishlash bo‘limining telefon raqami</w:name>
    <w:value w:hidden="false">
      <w:unit w:active="false"/>
    </w:value>
  </w:element>
  <w:element w:id="25" w:kind="variable" w:type="string" w:valueMode="normal" w:required="false" w:groupID="18">
    <w:identifier xml:space="preserve">ID25</w:identifier>
    <w:name xml:space="preserve">Ta’minotchi korxonaning texnik ishlar bo‘yicha telefon raqami</w:name>
    <w:value w:hidden="false">
      <w:unit w:active="false"/>
    </w:value>
  </w:element>
  <w:element w:id="26" w:kind="variable" w:type="string" w:valueMode="normal" w:required="false" w:groupID="18">
    <w:identifier xml:space="preserve">ID26</w:identifier>
    <w:name xml:space="preserve"> Iste’molchining yuridik manzili</w:name>
    <w:value w:hidden="false">
      <w:unit w:active="false"/>
    </w:value>
  </w:element>
  <w:element w:id="27" w:kind="variable" w:type="string" w:valueMode="normal" w:required="false" w:groupID="18">
    <w:identifier xml:space="preserve">ID27</w:identifier>
    <w:name xml:space="preserve">Iste’molchining hisob raqami</w:name>
    <w:value w:hidden="false">
      <w:unit w:active="false"/>
    </w:value>
  </w:element>
  <w:element w:id="28" w:kind="variable" w:type="string" w:valueMode="normal" w:required="false" w:groupID="18">
    <w:identifier xml:space="preserve">ID28</w:identifier>
    <w:name xml:space="preserve">Iste’molchining bank kodi</w:name>
    <w:value w:hidden="false">
      <w:unit w:active="false"/>
    </w:value>
  </w:element>
  <w:element w:id="29" w:kind="variable" w:type="string" w:valueMode="normal" w:required="false" w:groupID="18">
    <w:identifier xml:space="preserve">ID29</w:identifier>
    <w:name xml:space="preserve">Iste’molchining STIR raqami</w:name>
    <w:value w:hidden="false">
      <w:unit w:active="false"/>
    </w:value>
  </w:element>
  <w:element w:id="30" w:kind="variable" w:type="string" w:valueMode="normal" w:required="false" w:groupID="18">
    <w:identifier xml:space="preserve">ID30</w:identifier>
    <w:name xml:space="preserve">Iste’molchining QQS to‘lovchi kodi</w:name>
    <w:value w:hidden="false">
      <w:unit w:active="false"/>
    </w:value>
  </w:element>
  <w:element w:id="31" w:kind="variable" w:type="string" w:valueMode="normal" w:required="false" w:groupID="18">
    <w:identifier xml:space="preserve">ID31</w:identifier>
    <w:name xml:space="preserve">Iste’molchining telefon raqami</w:name>
    <w:value w:hidden="false">
      <w:unit w:active="false"/>
    </w:value>
  </w:element>
  <w:element w:id="32" w:kind="variable" w:type="string" w:valueMode="normal" w:required="false" w:groupID="18">
    <w:identifier xml:space="preserve">ID32</w:identifier>
    <w:name xml:space="preserve">Iste’molchining kadastr raqami</w:name>
    <w:value w:hidden="false">
      <w:unit w:active="false"/>
    </w:value>
  </w:element>
</w:structure>
</file>