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2409"/>
        <w:gridCol w:w="3821"/>
      </w:tblGrid>
      <w:tr>
        <w:tc>
          <w:tcPr>
            <w:tcW w:w="3115" w:type="dxa"/>
          </w:tcPr>
          <w:p>
            <w:pPr>
              <w:jc w:val="both"/>
              <w:rPr>
                <w:sz w:val="28"/>
                <w:rFonts w:ascii="Times New Roman" w:hAnsi="Times New Roman"/>
              </w:rPr>
            </w:pPr>
          </w:p>
        </w:tc>
        <w:tc>
          <w:tcPr>
            <w:tcW w:w="2409" w:type="dxa"/>
          </w:tcPr>
          <w:p>
            <w:pPr>
              <w:jc w:val="both"/>
              <w:rPr>
                <w:sz w:val="28"/>
                <w:rFonts w:ascii="Times New Roman" w:hAnsi="Times New Roman"/>
              </w:rPr>
            </w:pPr>
          </w:p>
        </w:tc>
        <w:tc>
          <w:tcPr>
            <w:tcW w:w="3821" w:type="dxa"/>
          </w:tcPr>
          <w:p>
            <w:pPr>
              <w:jc w:val="both"/>
              <w:rPr>
                <w:sz w:val="28"/>
                <w:rFonts w:ascii="Times New Roman" w:hAnsi="Times New Roman"/>
              </w:rPr>
            </w:pPr>
            <w:r>
              <w:rPr>
                <w:b/>
                <w:sz w:val="28"/>
                <w:rFonts w:ascii="Times New Roman" w:hAnsi="Times New Roman"/>
              </w:rPr>
              <w:t xml:space="preserve">Iqtisodiy ishlar bo‘yicha</w:t>
            </w:r>
            <w:r>
              <w:rPr>
                <w:sz w:val="28"/>
                <w:rFonts w:ascii="Times New Roman" w:hAnsi="Times New Roman"/>
              </w:rPr>
              <w:t xml:space="preserve">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Da’vo-ariza berilgan iqtisodiy ishlar bo‘yicha sud nomi</w:t>
              <w:fldChar w:fldCharType="end"/>
            </w:r>
            <w:r>
              <w:rPr>
                <w:sz w:val="28"/>
                <w:rFonts w:ascii="Times New Roman" w:hAnsi="Times New Roman"/>
              </w:rPr>
              <w:t xml:space="preserve"> sudiga </w:t>
            </w:r>
          </w:p>
        </w:tc>
      </w:tr>
      <w:tr>
        <w:tc>
          <w:tcPr>
            <w:tcW w:w="3115" w:type="dxa"/>
          </w:tcPr>
          <w:p>
            <w:pPr>
              <w:jc w:val="both"/>
              <w:rPr>
                <w:sz w:val="28"/>
                <w:rFonts w:ascii="Times New Roman" w:hAnsi="Times New Roman"/>
              </w:rPr>
            </w:pPr>
          </w:p>
        </w:tc>
        <w:tc>
          <w:tcPr>
            <w:tcW w:w="2409" w:type="dxa"/>
          </w:tcPr>
          <w:p>
            <w:pPr>
              <w:jc w:val="both"/>
              <w:rPr>
                <w:sz w:val="28"/>
                <w:rFonts w:ascii="Times New Roman" w:hAnsi="Times New Roman"/>
              </w:rPr>
            </w:pPr>
          </w:p>
        </w:tc>
        <w:tc>
          <w:tcPr>
            <w:tcW w:w="3821" w:type="dxa"/>
          </w:tcPr>
          <w:p>
            <w:pPr>
              <w:jc w:val="both"/>
              <w:rPr>
                <w:sz w:val="28"/>
                <w:rFonts w:ascii="Times New Roman" w:hAnsi="Times New Roman"/>
              </w:rPr>
            </w:pPr>
            <w:r>
              <w:rPr>
                <w:b/>
                <w:sz w:val="28"/>
                <w:rFonts w:ascii="Times New Roman" w:hAnsi="Times New Roman"/>
              </w:rPr>
              <w:t>Da’vogar</w:t>
            </w:r>
            <w:r>
              <w:rPr>
                <w:sz w:val="28"/>
                <w:rFonts w:ascii="Times New Roman" w:hAnsi="Times New Roman"/>
              </w:rPr>
              <w:t xml:space="preserve">: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Da’vogarning F.I.O.si</w:t>
              <w:fldChar w:fldCharType="end"/>
            </w:r>
          </w:p>
        </w:tc>
      </w:tr>
      <w:tr>
        <w:tc>
          <w:tcPr>
            <w:tcW w:w="3115" w:type="dxa"/>
          </w:tcPr>
          <w:p>
            <w:pPr>
              <w:jc w:val="both"/>
              <w:rPr>
                <w:sz w:val="28"/>
                <w:rFonts w:ascii="Times New Roman" w:hAnsi="Times New Roman"/>
              </w:rPr>
            </w:pPr>
          </w:p>
        </w:tc>
        <w:tc>
          <w:tcPr>
            <w:tcW w:w="2409" w:type="dxa"/>
          </w:tcPr>
          <w:p>
            <w:pPr>
              <w:jc w:val="both"/>
              <w:rPr>
                <w:sz w:val="28"/>
                <w:rFonts w:ascii="Times New Roman" w:hAnsi="Times New Roman"/>
              </w:rPr>
            </w:pPr>
          </w:p>
        </w:tc>
        <w:tc>
          <w:tcPr>
            <w:tcW w:w="3821" w:type="dxa"/>
          </w:tcPr>
          <w:p>
            <w:pPr>
              <w:jc w:val="both"/>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Da’vogarning manzili</w:t>
              <w:fldChar w:fldCharType="end"/>
            </w:r>
          </w:p>
        </w:tc>
      </w:tr>
      <w:tr>
        <w:tc>
          <w:tcPr>
            <w:tcW w:w="3115" w:type="dxa"/>
          </w:tcPr>
          <w:p>
            <w:pPr>
              <w:jc w:val="both"/>
              <w:rPr>
                <w:sz w:val="28"/>
                <w:rFonts w:ascii="Times New Roman" w:hAnsi="Times New Roman"/>
              </w:rPr>
            </w:pPr>
          </w:p>
        </w:tc>
        <w:tc>
          <w:tcPr>
            <w:tcW w:w="2409" w:type="dxa"/>
          </w:tcPr>
          <w:p>
            <w:pPr>
              <w:jc w:val="both"/>
              <w:rPr>
                <w:sz w:val="28"/>
                <w:rFonts w:ascii="Times New Roman" w:hAnsi="Times New Roman"/>
              </w:rPr>
            </w:pPr>
          </w:p>
        </w:tc>
        <w:tc>
          <w:tcPr>
            <w:tcW w:w="3821" w:type="dxa"/>
          </w:tcPr>
          <w:p>
            <w:pPr>
              <w:jc w:val="both"/>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Da’vogarning telefon raqamlari</w:t>
              <w:fldChar w:fldCharType="end"/>
            </w:r>
          </w:p>
        </w:tc>
      </w:tr>
      <w:tr>
        <w:tc>
          <w:tcPr>
            <w:tcW w:w="3115" w:type="dxa"/>
          </w:tcPr>
          <w:p>
            <w:pPr>
              <w:jc w:val="both"/>
              <w:rPr>
                <w:sz w:val="28"/>
                <w:rFonts w:ascii="Times New Roman" w:hAnsi="Times New Roman"/>
              </w:rPr>
            </w:pPr>
          </w:p>
        </w:tc>
        <w:tc>
          <w:tcPr>
            <w:tcW w:w="2409" w:type="dxa"/>
          </w:tcPr>
          <w:p>
            <w:pPr>
              <w:jc w:val="both"/>
              <w:rPr>
                <w:sz w:val="28"/>
                <w:rFonts w:ascii="Times New Roman" w:hAnsi="Times New Roman"/>
              </w:rPr>
            </w:pPr>
          </w:p>
        </w:tc>
        <w:tc>
          <w:tcPr>
            <w:tcW w:w="3821" w:type="dxa"/>
          </w:tcPr>
          <w:p>
            <w:pPr>
              <w:jc w:val="both"/>
              <w:rPr>
                <w:sz w:val="28"/>
                <w:rFonts w:ascii="Times New Roman" w:hAnsi="Times New Roman"/>
              </w:rPr>
            </w:pPr>
            <w:r>
              <w:rPr>
                <w:sz w:val="28"/>
                <w:rFonts w:ascii="Times New Roman" w:hAnsi="Times New Roman"/>
              </w:rPr>
              <w:t xml:space="preserve">E mail: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Da’vogarning pochta (elektron) manzili</w:t>
              <w:fldChar w:fldCharType="end"/>
            </w:r>
          </w:p>
        </w:tc>
      </w:tr>
      <w:tr>
        <w:tc>
          <w:tcPr>
            <w:tcW w:w="3115" w:type="dxa"/>
          </w:tcPr>
          <w:p>
            <w:pPr>
              <w:jc w:val="both"/>
              <w:rPr>
                <w:sz w:val="28"/>
                <w:rFonts w:ascii="Times New Roman" w:hAnsi="Times New Roman"/>
              </w:rPr>
            </w:pPr>
          </w:p>
        </w:tc>
        <w:tc>
          <w:tcPr>
            <w:tcW w:w="2409" w:type="dxa"/>
          </w:tcPr>
          <w:p>
            <w:pPr>
              <w:jc w:val="both"/>
              <w:rPr>
                <w:sz w:val="28"/>
                <w:rFonts w:ascii="Times New Roman" w:hAnsi="Times New Roman"/>
              </w:rPr>
            </w:pPr>
          </w:p>
        </w:tc>
        <w:tc>
          <w:tcPr>
            <w:tcW w:w="3821" w:type="dxa"/>
          </w:tcPr>
          <w:p>
            <w:pPr>
              <w:jc w:val="both"/>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F.I.O.si</w:t>
              <w:fldChar w:fldCharType="end"/>
            </w:r>
          </w:p>
        </w:tc>
      </w:tr>
      <w:tr>
        <w:tc>
          <w:tcPr>
            <w:tcW w:w="3115" w:type="dxa"/>
          </w:tcPr>
          <w:p>
            <w:pPr>
              <w:jc w:val="both"/>
              <w:rPr>
                <w:sz w:val="28"/>
                <w:rFonts w:ascii="Times New Roman" w:hAnsi="Times New Roman"/>
              </w:rPr>
            </w:pPr>
          </w:p>
        </w:tc>
        <w:tc>
          <w:tcPr>
            <w:tcW w:w="2409" w:type="dxa"/>
          </w:tcPr>
          <w:p>
            <w:pPr>
              <w:jc w:val="both"/>
              <w:rPr>
                <w:sz w:val="28"/>
                <w:rFonts w:ascii="Times New Roman" w:hAnsi="Times New Roman"/>
              </w:rPr>
            </w:pPr>
          </w:p>
        </w:tc>
        <w:tc>
          <w:tcPr>
            <w:tcW w:w="3821" w:type="dxa"/>
          </w:tcPr>
          <w:p>
            <w:pPr>
              <w:jc w:val="both"/>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manzili</w:t>
              <w:fldChar w:fldCharType="end"/>
            </w:r>
          </w:p>
        </w:tc>
      </w:tr>
      <w:tr>
        <w:tc>
          <w:tcPr>
            <w:tcW w:w="3115" w:type="dxa"/>
          </w:tcPr>
          <w:p>
            <w:pPr>
              <w:jc w:val="both"/>
              <w:rPr>
                <w:sz w:val="28"/>
                <w:rFonts w:ascii="Times New Roman" w:hAnsi="Times New Roman"/>
              </w:rPr>
            </w:pPr>
          </w:p>
        </w:tc>
        <w:tc>
          <w:tcPr>
            <w:tcW w:w="2409" w:type="dxa"/>
          </w:tcPr>
          <w:p>
            <w:pPr>
              <w:jc w:val="both"/>
              <w:rPr>
                <w:sz w:val="28"/>
                <w:rFonts w:ascii="Times New Roman" w:hAnsi="Times New Roman"/>
              </w:rPr>
            </w:pPr>
          </w:p>
        </w:tc>
        <w:tc>
          <w:tcPr>
            <w:tcW w:w="3821" w:type="dxa"/>
          </w:tcPr>
          <w:p>
            <w:pPr>
              <w:jc w:val="both"/>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Javobgarning telefon raqamlari</w:t>
              <w:fldChar w:fldCharType="end"/>
            </w:r>
          </w:p>
        </w:tc>
      </w:tr>
      <w:tr>
        <w:tc>
          <w:tcPr>
            <w:tcW w:w="3115" w:type="dxa"/>
          </w:tcPr>
          <w:p>
            <w:pPr>
              <w:jc w:val="both"/>
              <w:rPr>
                <w:sz w:val="28"/>
                <w:rFonts w:ascii="Times New Roman" w:hAnsi="Times New Roman"/>
              </w:rPr>
            </w:pPr>
          </w:p>
        </w:tc>
        <w:tc>
          <w:tcPr>
            <w:tcW w:w="2409" w:type="dxa"/>
          </w:tcPr>
          <w:p>
            <w:pPr>
              <w:jc w:val="both"/>
              <w:rPr>
                <w:sz w:val="28"/>
                <w:rFonts w:ascii="Times New Roman" w:hAnsi="Times New Roman"/>
              </w:rPr>
            </w:pPr>
          </w:p>
        </w:tc>
        <w:tc>
          <w:tcPr>
            <w:tcW w:w="3821" w:type="dxa"/>
          </w:tcPr>
          <w:p>
            <w:pPr>
              <w:jc w:val="both"/>
              <w:rPr>
                <w:sz w:val="28"/>
                <w:rFonts w:ascii="Times New Roman" w:hAnsi="Times New Roman"/>
              </w:rPr>
            </w:pPr>
            <w:r>
              <w:rPr>
                <w:sz w:val="28"/>
                <w:rFonts w:ascii="Times New Roman" w:hAnsi="Times New Roman"/>
              </w:rPr>
              <w:t xml:space="preserve">E mail: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Javobgarning pochta (elektron) manzili</w:t>
              <w:fldChar w:fldCharType="end"/>
            </w:r>
          </w:p>
        </w:tc>
      </w:tr>
    </w:tbl>
    <w:p>
      <w:pPr>
        <w:rPr>
          <w:sz w:val="28"/>
          <w:rFonts w:ascii="Times New Roman" w:hAnsi="Times New Roman"/>
        </w:rPr>
      </w:pPr>
    </w:p>
    <w:p>
      <w:pPr>
        <w:rPr>
          <w:sz w:val="28"/>
          <w:rFonts w:ascii="Times New Roman" w:hAnsi="Times New Roman"/>
        </w:rPr>
      </w:pPr>
    </w:p>
    <w:p>
      <w:pPr>
        <w:jc w:val="center"/>
        <w:rPr>
          <w:b/>
          <w:sz w:val="28"/>
          <w:rFonts w:ascii="Times New Roman" w:hAnsi="Times New Roman"/>
        </w:rPr>
      </w:pPr>
      <w:r>
        <w:rPr>
          <w:b/>
          <w:sz w:val="28"/>
          <w:rFonts w:ascii="Times New Roman" w:hAnsi="Times New Roman"/>
        </w:rPr>
        <w:t xml:space="preserve">Da’vo ariza</w:t>
      </w:r>
    </w:p>
    <w:p>
      <w:pPr>
        <w:jc w:val="center"/>
        <w:rPr>
          <w:sz w:val="28"/>
          <w:rFonts w:ascii="Times New Roman" w:hAnsi="Times New Roman"/>
        </w:rPr>
      </w:pPr>
      <w:r>
        <w:rPr>
          <w:sz w:val="28"/>
          <w:rFonts w:ascii="Times New Roman" w:hAnsi="Times New Roman"/>
        </w:rPr>
        <w:t xml:space="preserve">(Kompaniyani to‘lovga layoqatsiz deb topish to‘g‘risida)</w:t>
      </w:r>
    </w:p>
    <w:p>
      <w:pPr>
        <w:jc w:val="both"/>
        <w:ind w:firstLine="425"/>
        <w:rPr>
          <w:sz w:val="28"/>
          <w:rFonts w:ascii="Times New Roman" w:hAnsi="Times New Roman"/>
        </w:rPr>
      </w:pP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Kompaniyaning tashkil etilgan sanasi</w:t>
        <w:fldChar w:fldCharType="end"/>
      </w:r>
      <w:r>
        <w:rPr>
          <w:sz w:val="28"/>
          <w:rFonts w:ascii="Times New Roman" w:hAnsi="Times New Roman"/>
        </w:rPr>
        <w:t xml:space="preserve"> yilda tashkil etilgan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Kompaniya nomi tashkiliy huquqiy shakli</w:t>
        <w:fldChar w:fldCharType="end"/>
      </w:r>
      <w:r>
        <w:rPr>
          <w:sz w:val="28"/>
          <w:rFonts w:ascii="Times New Roman" w:hAnsi="Times New Roman"/>
        </w:rPr>
        <w:t xml:space="preserve"> nomli kompaniya hozirgi kunda to‘lovlarni o‘z vaqtida to‘lab borishga moliyaviy sharoiti yetarli emas. Ammo shunday bo‘lsada,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Kompaniya nomi tashkiliy huquqiy shakli</w:t>
        <w:fldChar w:fldCharType="end"/>
      </w:r>
      <w:r>
        <w:rPr>
          <w:sz w:val="28"/>
          <w:rFonts w:ascii="Times New Roman" w:hAnsi="Times New Roman"/>
        </w:rPr>
        <w:t xml:space="preserve"> o‘zining to‘lovga layoqatsizligini yashirgan holda moliyaviy qarzlar olmoqda. Bu esa moliyaviy inqirozni keltirib chiqarishi mumkin.</w:t>
      </w:r>
    </w:p>
    <w:p>
      <w:pPr>
        <w:jc w:val="both"/>
        <w:ind w:firstLine="425"/>
        <w:spacing w:after="0" w:line="288" w:lineRule="auto"/>
        <w:rPr>
          <w:sz w:val="28"/>
          <w:rFonts w:ascii="Times New Roman" w:hAnsi="Times New Roman"/>
        </w:rPr>
      </w:pPr>
      <w:r>
        <w:rPr>
          <w:sz w:val="28"/>
          <w:rFonts w:ascii="Times New Roman" w:hAnsi="Times New Roman"/>
        </w:rPr>
        <w:t xml:space="preserve">O‘zbekiston Respublikasi Iqtisodiy protsessual kodeksining 210-moddasiga ko‘ra, yuridik shaxslarning va fuqarolarning bankrotligi to‘g‘risidagi ishlar ushbu Iqtisodiy protsessual kodeksida nazarda tutilgan qoidalar bo‘yicha, qonunchilikda belgilangan xususiyatlarni e’tiborga olgan holda sud tomonidan ko‘rib chiqilishi belgilangan.</w:t>
      </w:r>
    </w:p>
    <w:p>
      <w:pPr>
        <w:jc w:val="both"/>
        <w:ind w:firstLine="425"/>
        <w:spacing w:after="0" w:line="288" w:lineRule="auto"/>
        <w:rPr>
          <w:sz w:val="28"/>
          <w:rFonts w:ascii="Times New Roman" w:hAnsi="Times New Roman"/>
        </w:rPr>
      </w:pPr>
      <w:r>
        <w:rPr>
          <w:sz w:val="28"/>
          <w:rFonts w:ascii="Times New Roman" w:hAnsi="Times New Roman"/>
        </w:rPr>
        <w:t xml:space="preserve">Iqtisodiy protsessual kodeksining 211-moddasida esa bankrotlik sohasidagi munosabatlarni tartibga soluvchi qonunga muvofiq qarzdor, kreditorlar va boshqa manfaatdor shaxslar qarzdorni bankrot deb topish to‘g‘risidagi ariza bilan sudga murojaat etishga haqli.</w:t>
      </w:r>
    </w:p>
    <w:p>
      <w:pPr>
        <w:jc w:val="both"/>
        <w:ind w:firstLine="425"/>
        <w:spacing w:after="0" w:line="288" w:lineRule="auto"/>
        <w:rPr>
          <w:sz w:val="28"/>
          <w:rFonts w:ascii="Times New Roman" w:hAnsi="Times New Roman"/>
        </w:rPr>
      </w:pPr>
      <w:r>
        <w:rPr>
          <w:sz w:val="28"/>
          <w:rFonts w:ascii="Times New Roman" w:hAnsi="Times New Roman"/>
        </w:rPr>
        <w:t xml:space="preserve">Arizaga bankrotlik sohasidagi munosabatlarni tartibga soluvchi qonunda nazarda tutilgan hujjatlar ilova qilinishi belgilangan.</w:t>
      </w:r>
    </w:p>
    <w:p>
      <w:pPr>
        <w:jc w:val="both"/>
        <w:ind w:firstLine="425"/>
        <w:spacing w:after="0" w:line="288" w:lineRule="auto"/>
        <w:rPr>
          <w:sz w:val="28"/>
          <w:rFonts w:ascii="Times New Roman" w:hAnsi="Times New Roman"/>
        </w:rPr>
      </w:pPr>
      <w:r>
        <w:rPr>
          <w:sz w:val="28"/>
          <w:rFonts w:ascii="Times New Roman" w:hAnsi="Times New Roman"/>
        </w:rPr>
        <w:t xml:space="preserve">Shuningdek, “To‘lovga qobiliyatsizlik to‘g‘risida”gi Qonunning 5-moddasida to‘lovga qobiliyatsizlik alomatlari ko‘rsatilga bo‘lib, bunga ko‘ra:</w:t>
      </w:r>
    </w:p>
    <w:p>
      <w:pPr>
        <w:jc w:val="both"/>
        <w:ind w:firstLine="425"/>
        <w:spacing w:after="0" w:line="288" w:lineRule="auto"/>
        <w:rPr>
          <w:sz w:val="28"/>
          <w:rFonts w:ascii="Times New Roman" w:hAnsi="Times New Roman"/>
        </w:rPr>
      </w:pPr>
      <w:r>
        <w:rPr>
          <w:sz w:val="28"/>
          <w:rFonts w:ascii="Times New Roman" w:hAnsi="Times New Roman"/>
        </w:rPr>
        <w:t xml:space="preserve">vaqtincha to‘lovga qobiliyatsizlik — agar tegishli majburiyatlar yuzaga kelgan sanadan e’tiboran uch oy ichida qarzdor tomonidan bajarilmagan bo‘lsa, shaharni tashkil etuvchi korxona hamda unga tenglashtirilgan korxonalar tomonidan esa olti oy ichida bajarilmasa, sudga murojaat etish sanasida qarzdorning pul majburiyatlari bo‘yicha kreditorlar talablarini qanoatlantirishga va (yoki) soliqlar hamda yig‘imlar bo‘yicha o‘z majburiyatlarini bajarishga qodir emasligi ko‘rsailib o‘tilgan.</w:t>
      </w:r>
    </w:p>
    <w:p>
      <w:pPr>
        <w:jc w:val="both"/>
        <w:ind w:firstLine="425"/>
        <w:spacing w:after="0" w:line="288" w:lineRule="auto"/>
        <w:rPr>
          <w:sz w:val="28"/>
          <w:rFonts w:ascii="Times New Roman" w:hAnsi="Times New Roman"/>
        </w:rPr>
      </w:pPr>
      <w:r>
        <w:rPr>
          <w:sz w:val="28"/>
          <w:rFonts w:ascii="Times New Roman" w:hAnsi="Times New Roman"/>
        </w:rPr>
        <w:t xml:space="preserve">O‘zbekiston Respublikasi Iqtisodiy protsessual kodeksining 210, 211-moddalari hamda “To‘lovga qobiliyatsizlik to‘g‘risida”gi Qonunning 5-moddasiga asosan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Kompaniya nomi tashkiliy huquqiy shakli</w:t>
        <w:fldChar w:fldCharType="end"/>
      </w:r>
      <w:r>
        <w:rPr>
          <w:sz w:val="28"/>
          <w:rFonts w:ascii="Times New Roman" w:hAnsi="Times New Roman"/>
        </w:rPr>
        <w:t xml:space="preserve">ni to‘lovga qobiliyatsiz deb topishingizni so‘rayman.</w:t>
      </w:r>
    </w:p>
    <w:p>
      <w:pPr>
        <w:jc w:val="both"/>
        <w:ind w:firstLine="425"/>
        <w:spacing w:after="0" w:line="288" w:lineRule="auto"/>
        <w:rPr>
          <w:sz w:val="28"/>
          <w:rFonts w:ascii="Times New Roman" w:hAnsi="Times New Roman"/>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Da’vogarning F.I.O.si</w:t>
              <w:fldChar w:fldCharType="end"/>
            </w:r>
          </w:p>
        </w:tc>
        <w:tc>
          <w:tcPr>
            <w:tcW w:w="3115" w:type="dxa"/>
          </w:tcPr>
          <w:p>
            <w:pPr>
              <w:jc w:val="both"/>
              <w:spacing w:line="288" w:lineRule="auto"/>
              <w:rPr>
                <w:sz w:val="28"/>
                <w:rFonts w:ascii="Times New Roman" w:hAnsi="Times New Roman"/>
              </w:rPr>
            </w:pPr>
          </w:p>
        </w:tc>
        <w:tc>
          <w:tcPr>
            <w:tcW w:w="3115" w:type="dxa"/>
          </w:tcPr>
          <w:p>
            <w:pPr>
              <w:jc w:val="both"/>
              <w:spacing w:line="288" w:lineRule="auto"/>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yozilgan sana </w:t>
              <w:fldChar w:fldCharType="end"/>
            </w:r>
          </w:p>
        </w:tc>
      </w:tr>
    </w:tbl>
    <w:p>
      <w:pPr>
        <w:jc w:val="both"/>
        <w:ind w:firstLine="425"/>
        <w:spacing w:after="0" w:line="288" w:lineRule="auto"/>
        <w:rPr>
          <w:sz w:val="28"/>
          <w:rFonts w:ascii="Times New Roman" w:hAnsi="Times New Roman"/>
        </w:rPr>
      </w:pPr>
    </w:p>
    <w:p>
      <w:pPr>
        <w:jc w:val="both"/>
        <w:ind w:firstLine="425"/>
        <w:spacing w:after="0" w:line="288" w:lineRule="auto"/>
        <w:rPr>
          <w:sz w:val="28"/>
          <w:rFonts w:ascii="Times New Roman" w:hAnsi="Times New Roman"/>
        </w:rPr>
      </w:pPr>
    </w:p>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167"/>
    <w:rsid w:val="00157685"/>
    <w:rsid w:val="00174167"/>
    <w:rsid w:val="00365559"/>
    <w:rsid w:val="004022DD"/>
    <w:rsid w:val="0078467F"/>
    <w:rsid w:val="007A053C"/>
    <w:rsid w:val="00911E12"/>
    <w:rsid w:val="009938F9"/>
    <w:rsid w:val="00A94C8B"/>
    <w:rsid w:val="00BE3FF6"/>
    <w:rsid w:val="00C64FC6"/>
    <w:rsid w:val="00D540FE"/>
    <w:rsid w:val="00E74865"/>
    <w:rsid w:val="00EB6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C4EDC-41D5-4134-99CE-C639D0E48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4C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94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2554</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2024-02-22T06:24:00Z</dcterms:created>
  <dcterms:modified xsi:type="dcterms:W3CDTF">2024-02-22T06:24:00Z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Da’vo-ariza berilgan iqtisodiy ishlar bo‘yicha sud nomi</w:name>
    <w:value w:hidden="false">
      <w:unit w:active="false"/>
    </w:value>
  </w:element>
  <w:element w:id="3" w:kind="variable" w:selector="check" w:type="date" w:valueMode="normal" w:required="false" w:groupID="1">
    <w:identifier xml:space="preserve">ID2</w:identifier>
    <w:name xml:space="preserve">Ariza yozilgan sana </w:name>
    <w:comment xml:space="preserve"/>
    <w:value w:hidden="false">
      <w:unit w:active="false"/>
    </w:value>
  </w:element>
  <w:element w:id="4" w:kind="category" w:selector="check" w:type="string" w:valueMode="normal" w:required="false">
    <w:identifier xml:space="preserve">ID4</w:identifier>
    <w:name xml:space="preserve">Da’vogar to‘g‘risida ma’lumotlar</w:name>
    <w:value w:hidden="true">
      <w:unit w:active="false"/>
    </w:value>
  </w:element>
  <w:element w:id="5" w:kind="variable" w:selector="check" w:type="string" w:valueMode="normal" w:required="false" w:groupID="4">
    <w:identifier xml:space="preserve">ID5</w:identifier>
    <w:name xml:space="preserve">Da’vogarning F.I.O.si</w:name>
    <w:value w:hidden="false">
      <w:unit w:active="false"/>
    </w:value>
  </w:element>
  <w:element w:id="6" w:kind="variable" w:selector="check" w:type="string" w:valueMode="normal" w:required="false" w:groupID="4">
    <w:identifier xml:space="preserve">ID5</w:identifier>
    <w:name xml:space="preserve">Da’vogarning manzili</w:name>
    <w:value w:hidden="false">
      <w:unit w:active="false"/>
    </w:value>
  </w:element>
  <w:element w:id="7" w:kind="variable" w:selector="check" w:type="number" w:valueMode="normal" w:required="false" w:groupID="4">
    <w:identifier xml:space="preserve">ID6</w:identifier>
    <w:name xml:space="preserve">Da’vogarning telefon raqamlari</w:name>
    <w:value w:hidden="false">
      <w:unit w:active="false"/>
    </w:value>
  </w:element>
  <w:element w:id="8" w:kind="variable" w:selector="check" w:type="string" w:valueMode="normal" w:required="false" w:groupID="4">
    <w:identifier xml:space="preserve">ID6</w:identifier>
    <w:name xml:space="preserve">Da’vogarning pochta (elektron) manzili</w:name>
    <w:value w:hidden="false">
      <w:unit w:active="false"/>
    </w:value>
  </w:element>
  <w:element w:id="9" w:kind="category" w:selector="check" w:type="string" w:valueMode="normal" w:required="false">
    <w:identifier xml:space="preserve">ID9</w:identifier>
    <w:name xml:space="preserve">Javobgar to‘g‘risida ma’lumotlar</w:name>
    <w:value w:hidden="true">
      <w:unit w:active="false"/>
    </w:value>
  </w:element>
  <w:element w:id="10" w:kind="variable" w:selector="check" w:type="string" w:valueMode="normal" w:required="false" w:groupID="9">
    <w:identifier xml:space="preserve">ID10</w:identifier>
    <w:name xml:space="preserve">Javobgarning F.I.O.si</w:name>
    <w:value w:hidden="false">
      <w:unit w:active="false"/>
    </w:value>
  </w:element>
  <w:element w:id="11" w:kind="variable" w:selector="check" w:type="string" w:valueMode="normal" w:required="false" w:groupID="9">
    <w:identifier xml:space="preserve">ID10</w:identifier>
    <w:name xml:space="preserve">Javobgarning manzili</w:name>
    <w:value w:hidden="false">
      <w:unit w:active="false"/>
    </w:value>
  </w:element>
  <w:element w:id="12" w:kind="variable" w:selector="check" w:type="number" w:valueMode="normal" w:required="false" w:groupID="9">
    <w:identifier xml:space="preserve">ID11</w:identifier>
    <w:name xml:space="preserve">Javobgarning telefon raqamlari</w:name>
    <w:value w:hidden="false">
      <w:unit w:active="false"/>
    </w:value>
  </w:element>
  <w:element w:id="13" w:kind="variable" w:selector="check" w:type="string" w:valueMode="normal" w:required="false" w:groupID="9">
    <w:identifier xml:space="preserve">ID12</w:identifier>
    <w:name xml:space="preserve">Javobgarning pochta (elektron)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date" w:valueMode="normal" w:required="false" w:groupID="14">
    <w:identifier xml:space="preserve">ID15</w:identifier>
    <w:name xml:space="preserve">Kompaniyaning tashkil etilgan sanasi</w:name>
    <w:value w:hidden="false">
      <w:unit w:active="false"/>
    </w:value>
  </w:element>
  <w:element w:id="16" w:kind="variable" w:selector="check" w:type="string" w:valueMode="normal" w:required="false" w:groupID="14">
    <w:identifier xml:space="preserve">ID15</w:identifier>
    <w:name xml:space="preserve">Kompaniya nomi tashkiliy huquqiy shakli</w:name>
    <w:value w:hidden="false">
      <w:unit w:active="false"/>
    </w:value>
  </w:element>
</w:structure>
</file>