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59"/>
        <w:gridCol w:w="4795"/>
      </w:tblGrid>
      <w:tr>
        <w:tc>
          <w:tcPr>
            <w:tcW w:w="4665" w:type="dxa"/>
            <w:shd w:fill="auto"/>
          </w:tcPr>
          <w:p>
            <w:pPr>
              <w:spacing w:after="0"/>
              <w:rPr>
                <w:sz w:val="28"/>
                <w:rFonts w:ascii="Times New Roman" w:hAnsi="Times New Roman"/>
              </w:rPr>
            </w:pPr>
            <w:r>
              <w:rPr>
                <w:color w:val="000000"/>
                <w:sz w:val="28"/>
                <w:rFonts w:ascii="Times New Roman" w:hAnsi="Times New Roman"/>
              </w:rPr>
              <w:t xml:space="preserve">                       </w:t>
            </w:r>
          </w:p>
        </w:tc>
        <w:tc>
          <w:tcPr>
            <w:tcW w:w="4906" w:type="dxa"/>
            <w:shd w:fill="auto"/>
          </w:tcPr>
          <w:p>
            <w:pPr>
              <w:jc w:val="both"/>
              <w:spacing w:after="0"/>
              <w:rPr>
                <w:b/>
                <w:sz w:val="28"/>
                <w:rFonts w:ascii="Times New Roman" w:hAnsi="Times New Roman"/>
              </w:rPr>
            </w:pPr>
            <w:r>
              <w:rPr>
                <w:b/>
                <w:sz w:val="28"/>
                <w:rFonts w:ascii="Times New Roman" w:hAnsi="Times New Roman"/>
              </w:rPr>
              <w:t xml:space="preserve">Iqtisodiy ishlar boʻyicha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Iltimosnoma berilgan iqtisodiy sud nomi</w:t>
              <w:fldChar w:fldCharType="end"/>
            </w:r>
            <w:r>
              <w:rPr>
                <w:b/>
                <w:sz w:val="28"/>
                <w:rFonts w:ascii="Times New Roman" w:hAnsi="Times New Roman"/>
              </w:rPr>
              <w:t xml:space="preserve"> sudiga</w:t>
            </w:r>
          </w:p>
        </w:tc>
      </w:tr>
      <w:tr>
        <w:tc>
          <w:tcPr>
            <w:tcW w:w="4665" w:type="dxa"/>
            <w:shd w:fill="auto"/>
          </w:tcPr>
          <w:p>
            <w:pPr>
              <w:spacing w:after="0"/>
              <w:rPr>
                <w:sz w:val="28"/>
                <w:rFonts w:ascii="Times New Roman" w:hAnsi="Times New Roman"/>
              </w:rPr>
            </w:pPr>
          </w:p>
        </w:tc>
        <w:tc>
          <w:tcPr>
            <w:tcW w:w="4906"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Iltimosnoma beruvchi yuridik shaxsning nomi va tashkiliy huquqiy shakli</w:t>
              <w:fldChar w:fldCharType="end"/>
            </w:r>
          </w:p>
        </w:tc>
      </w:tr>
      <w:tr>
        <w:tc>
          <w:tcPr>
            <w:tcW w:w="4665" w:type="dxa"/>
            <w:shd w:fill="auto"/>
          </w:tcPr>
          <w:p>
            <w:pPr>
              <w:spacing w:after="0"/>
              <w:rPr>
                <w:sz w:val="28"/>
                <w:rFonts w:ascii="Times New Roman" w:hAnsi="Times New Roman"/>
              </w:rPr>
            </w:pPr>
          </w:p>
        </w:tc>
        <w:tc>
          <w:tcPr>
            <w:tcW w:w="4906" w:type="dxa"/>
            <w:shd w:fill="auto"/>
          </w:tcPr>
          <w:p>
            <w:pPr>
              <w:jc w:val="both"/>
              <w:spacing w:after="0"/>
              <w:rPr>
                <w:b/>
                <w:sz w:val="28"/>
                <w:rFonts w:ascii="Times New Roman" w:hAnsi="Times New Roman"/>
              </w:rPr>
            </w:pPr>
            <w:r>
              <w:rPr>
                <w:b/>
                <w:sz w:val="28"/>
                <w:rFonts w:ascii="Times New Roman" w:hAnsi="Times New Roman"/>
              </w:rPr>
              <w:t xml:space="preserve">Manzil: </w:t>
            </w: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Iltimosnoma beruvchi yuridik shaxsning yuridik manzili</w:t>
              <w:fldChar w:fldCharType="end"/>
            </w:r>
          </w:p>
        </w:tc>
      </w:tr>
    </w:tbl>
    <w:p>
      <w:pPr>
        <w:jc w:val="right"/>
        <w:spacing w:after="0"/>
        <w:rPr>
          <w:color w:val="000000"/>
          <w:sz w:val="28"/>
          <w:rFonts w:ascii="Times New Roman" w:hAnsi="Times New Roman"/>
        </w:rPr>
      </w:pP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 xml:space="preserve">A R I Z A</w:t>
      </w:r>
    </w:p>
    <w:p>
      <w:pPr>
        <w:jc w:val="center"/>
        <w:spacing w:after="0"/>
        <w:rPr>
          <w:sz w:val="28"/>
          <w:rFonts w:ascii="Times New Roman" w:hAnsi="Times New Roman"/>
        </w:rPr>
      </w:pPr>
      <w:r>
        <w:rPr>
          <w:sz w:val="28"/>
          <w:rFonts w:ascii="Times New Roman" w:hAnsi="Times New Roman"/>
        </w:rPr>
        <w:t xml:space="preserve">Kompleks ekspertiza tayinlash haqida</w:t>
      </w:r>
    </w:p>
    <w:p>
      <w:pPr>
        <w:jc w:val="center"/>
        <w:spacing w:after="0"/>
        <w:rPr>
          <w:sz w:val="28"/>
          <w:rFonts w:ascii="Times New Roman" w:hAnsi="Times New Roman"/>
        </w:rPr>
      </w:pPr>
    </w:p>
    <w:p>
      <w:pPr>
        <w:pStyle w:val="a4"/>
        <w:jc w:val="both"/>
        <w:ind w:firstLine="709"/>
        <w:spacing w:after="0"/>
        <w:rPr>
          <w:sz w:val="28"/>
          <w:rFonts w:ascii="Times New Roman" w:hAnsi="Times New Roman"/>
        </w:rPr>
      </w:pPr>
      <w:r>
        <w:rPr>
          <w:sz w:val="28"/>
          <w:rFonts w:ascii="Times New Roman" w:hAnsi="Times New Roman"/>
        </w:rPr>
        <w:t xml:space="preserve">Iqtisodiy ishlar boʻyicha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Iltimosnoma berilgan iqtisodiy sud nomi</w:t>
        <w:fldChar w:fldCharType="end"/>
      </w:r>
      <w:r>
        <w:rPr>
          <w:sz w:val="28"/>
          <w:rFonts w:ascii="Times New Roman" w:hAnsi="Times New Roman"/>
        </w:rPr>
        <w:t xml:space="preserve"> sudi tomonidan daʼvogar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Ish bo‘yicha daʼvogarning F.I.O.si</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javobgarning F.I.O.si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Daʼvo ariza mazmuni</w:t>
        <w:fldChar w:fldCharType="end"/>
      </w:r>
      <w:r>
        <w:rPr>
          <w:sz w:val="28"/>
          <w:rFonts w:ascii="Times New Roman" w:hAnsi="Times New Roman"/>
        </w:rPr>
        <w:t xml:space="preserve"> toʻgʻrisidagi daʼvo arizasi yuzasidan yuritilayotgan iqtisodiy ish koʻrib chiqilmoqda.</w:t>
      </w:r>
    </w:p>
    <w:p>
      <w:pPr>
        <w:pStyle w:val="a4"/>
        <w:jc w:val="both"/>
        <w:ind w:firstLine="709"/>
        <w:spacing w:after="0"/>
        <w:rPr>
          <w:sz w:val="28"/>
          <w:rFonts w:ascii="Times New Roman" w:hAnsi="Times New Roman"/>
        </w:rPr>
      </w:pPr>
      <w:r>
        <w:rPr>
          <w:sz w:val="28"/>
          <w:rFonts w:ascii="Times New Roman" w:hAnsi="Times New Roman"/>
        </w:rPr>
        <w:t xml:space="preserve">Mazkur ish boʻyicha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Ekspertiza tayinlangan sana</w:t>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Tayinlangan ekspertiza turi</w:t>
        <w:fldChar w:fldCharType="end"/>
      </w:r>
      <w:r>
        <w:rPr>
          <w:sz w:val="28"/>
          <w:rFonts w:ascii="Times New Roman" w:hAnsi="Times New Roman"/>
        </w:rPr>
        <w:t xml:space="preserve"> ekspertizasi tayinlangan. Mazkur ekspertiza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Ekspertiza xulosasi berilgan sana</w:t>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Ekspertiza xulosaning mazmuni</w:t>
        <w:fldChar w:fldCharType="end"/>
      </w:r>
      <w:r>
        <w:rPr>
          <w:sz w:val="28"/>
          <w:rFonts w:ascii="Times New Roman" w:hAnsi="Times New Roman"/>
        </w:rPr>
        <w:t xml:space="preserve"> toʻgʻrisida xulosa bergan. </w:t>
      </w:r>
    </w:p>
    <w:p>
      <w:pPr>
        <w:pStyle w:val="a4"/>
        <w:jc w:val="both"/>
        <w:ind w:firstLine="709"/>
        <w:spacing w:after="0"/>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Iltimosnoma beruvchi ekspertiza xulosasini asossiz deb hisoblashining sabablari</w:t>
        <w:fldChar w:fldCharType="end"/>
      </w:r>
      <w:r>
        <w:rPr>
          <w:sz w:val="28"/>
          <w:rFonts w:ascii="Times New Roman" w:hAnsi="Times New Roman"/>
        </w:rPr>
        <w:t xml:space="preserve"> sabablarga koʻra mazkur xulosani asossiz deb hisoblayman. </w:t>
      </w:r>
    </w:p>
    <w:p>
      <w:pPr>
        <w:jc w:val="both"/>
        <w:ind w:firstLine="851"/>
        <w:spacing w:after="0"/>
        <w:rPr>
          <w:color w:val="000000"/>
          <w:sz w:val="28"/>
          <w:rFonts w:ascii="Times New Roman" w:hAnsi="Times New Roman"/>
        </w:rPr>
      </w:pPr>
      <w:r>
        <w:rPr>
          <w:sz w:val="28"/>
          <w:rFonts w:ascii="Times New Roman" w:hAnsi="Times New Roman"/>
        </w:rPr>
        <w:t xml:space="preserve">Oʻzbekiston Respublikasi Iqtisodiy protsessual Kodeksining 80-86-moddalariga koʻra, </w:t>
      </w:r>
      <w:r>
        <w:rPr>
          <w:color w:val="000000"/>
          <w:sz w:val="28"/>
          <w:rFonts w:ascii="Times New Roman" w:hAnsi="Times New Roman"/>
        </w:rPr>
        <w:t xml:space="preserve">ekspertiza turli xil (kompleks ekspertiza) sud-ekspert ixtisosligidagi bir nechta ekspert tomonidan oʻtkazilishi mumkin. Ekspertizaning ekspertlar komissiyasi tomonidan oʻtkazilishi ekspertizani tayinlagan sud yoki mazkur ekspertizaning oʻtkazilishini tashkil etuvchi davlat sud-ekspertiza muassasasi, nodavlat sud-ekspertiza tashkiloti yoxud boshqa korxona, muassasa, tashkilot rahbari tomonidan belgilanadi.</w:t>
      </w:r>
    </w:p>
    <w:p>
      <w:pPr>
        <w:jc w:val="both"/>
        <w:ind w:firstLine="851"/>
        <w:spacing w:after="0"/>
        <w:rPr>
          <w:color w:val="000000"/>
          <w:sz w:val="28"/>
          <w:rFonts w:ascii="Times New Roman" w:hAnsi="Times New Roman"/>
        </w:rPr>
      </w:pPr>
      <w:r>
        <w:rPr>
          <w:color w:val="000000"/>
          <w:sz w:val="28"/>
          <w:rFonts w:ascii="Times New Roman" w:hAnsi="Times New Roman"/>
        </w:rPr>
        <w:t xml:space="preserve">Ekspertizani oʻtkazish topshirilgan ekspertlar komissiyasi oʻz oldiga qoʻyilgan masalalarni hal etish zarurligidan kelib chiqib, oʻtkaziladigan tekshirishlarning maqsadi, ketma-ketligi va hajmini kelishib oladi.</w:t>
      </w:r>
    </w:p>
    <w:p>
      <w:pPr>
        <w:jc w:val="both"/>
        <w:ind w:firstLine="851"/>
        <w:spacing w:after="0"/>
        <w:rPr>
          <w:color w:val="000000"/>
          <w:sz w:val="28"/>
          <w:rFonts w:ascii="Times New Roman" w:hAnsi="Times New Roman"/>
        </w:rPr>
      </w:pPr>
      <w:r>
        <w:rPr>
          <w:color w:val="000000"/>
          <w:sz w:val="28"/>
          <w:rFonts w:ascii="Times New Roman" w:hAnsi="Times New Roman"/>
        </w:rPr>
        <w:t xml:space="preserve">Ekspertizani oʻtkazish oʻziga topshirilgan ekspertlar komissiyasi tarkibida har bir ekspert tekshirishlarni mustaqil va alohida olib boradi, shaxsan oʻzi va komissiyaning boshqa aʼzolari tomonidan olingan natijalarni baholaydi hamda qoʻyilgan masalalar yuzasidan xulosalarini oʻz maxsus bilimlari doirasida shakllantiradi. Tekshirishlarning ekspertlar komissiyasi tarkibiga kiritilmagan shaxslar tomonidan toʻliq yoki qisman oʻtkazilishiga yoʻl qoʻyilmaydi.</w:t>
      </w:r>
    </w:p>
    <w:p>
      <w:pPr>
        <w:jc w:val="both"/>
        <w:ind w:firstLine="851"/>
        <w:spacing w:after="0"/>
        <w:rPr>
          <w:color w:val="000000"/>
          <w:sz w:val="28"/>
          <w:rFonts w:ascii="Times New Roman" w:hAnsi="Times New Roman"/>
        </w:rPr>
      </w:pPr>
      <w:r>
        <w:rPr>
          <w:color w:val="000000"/>
          <w:sz w:val="28"/>
          <w:rFonts w:ascii="Times New Roman" w:hAnsi="Times New Roman"/>
        </w:rPr>
        <w:t xml:space="preserve">Kompleks ekspertiza ish uchun ahamiyatga molik holatlarni turli ilm sohalaridan foydalangan holda bir nechta tekshirish oʻtkazish yoʻli bilangina aniqlash mumkin boʻlgan hollarda tayinlanadi.</w:t>
      </w:r>
    </w:p>
    <w:p>
      <w:pPr>
        <w:jc w:val="both"/>
        <w:ind w:firstLine="851"/>
        <w:spacing w:after="0"/>
        <w:rPr>
          <w:color w:val="000000"/>
          <w:sz w:val="28"/>
          <w:rFonts w:ascii="Times New Roman" w:hAnsi="Times New Roman"/>
        </w:rPr>
      </w:pPr>
      <w:r>
        <w:rPr>
          <w:color w:val="000000"/>
          <w:sz w:val="28"/>
          <w:rFonts w:ascii="Times New Roman" w:hAnsi="Times New Roman"/>
        </w:rPr>
        <w:t xml:space="preserve">Kompleks ekspertizani oʻtkazishda ekspertlarning har biri oʻz vakolati doirasida tekshirishlar olib boradi. Kompleks ekspertizaning xulosasida ekspertlarning har biri qaysi tekshirishlarni va qancha hajmda olib borganligi, qaysi faktlarni shaxsan oʻzi aniqlaganligi hamda qanday xulosalarga kelganligi koʻrsatiladi. Ekspertlarning har biri xulosaning ushbu tekshirishlar bayon etilgan qismini imzolaydi va ular uchun javobgar boʻladi.</w:t>
      </w:r>
    </w:p>
    <w:p>
      <w:pPr>
        <w:jc w:val="both"/>
        <w:ind w:firstLine="851"/>
        <w:spacing w:after="0"/>
        <w:rPr>
          <w:color w:val="000000"/>
          <w:sz w:val="28"/>
          <w:rFonts w:ascii="Times New Roman" w:hAnsi="Times New Roman"/>
        </w:rPr>
      </w:pPr>
      <w:r>
        <w:rPr>
          <w:color w:val="000000"/>
          <w:sz w:val="28"/>
          <w:rFonts w:ascii="Times New Roman" w:hAnsi="Times New Roman"/>
        </w:rPr>
        <w:t xml:space="preserve">Umumiy xulosa (xulosalar) olingan natijalarni baholashga va ushbu xulosani (xulosalarni) shakllantirishga vakolatli boʻlgan ekspertlar tomonidan chiqariladi. Agar ekspertlar komissiyasi yakuniy xulosasining yoki uning bir qismining asosi ekspertlardan biri (alohida ekspertlar) tomonidan aniqlangan faktlardan iborat boʻlsa, bu haqda xulosada koʻrsatilishi lozim. Ekspertlar oʻrtasida kelishmovchiliklar kelib chiqqan taqdirda, ularning har biri kelishmovchiliklar kelib chiqqan barcha yoki ayrim masalalar boʻyicha alohida xulosa beradi.</w:t>
      </w:r>
    </w:p>
    <w:p>
      <w:pPr>
        <w:pStyle w:val="a4"/>
        <w:jc w:val="both"/>
        <w:ind w:firstLine="709"/>
        <w:spacing w:after="0"/>
        <w:rPr>
          <w:b/>
          <w:sz w:val="28"/>
          <w:rFonts w:ascii="Times New Roman" w:hAnsi="Times New Roman"/>
        </w:rPr>
      </w:pPr>
      <w:r>
        <w:rPr>
          <w:sz w:val="28"/>
          <w:rFonts w:ascii="Times New Roman" w:hAnsi="Times New Roman"/>
        </w:rPr>
        <w:t xml:space="preserve">Oʻzbekiston Respublikasi Iqtisodiy protsessual Kodeksining 80-86-moddalariga “Sud ekspertizasi toʻgʻrisida»gi Qonunining 19-moddasiga asosan,</w:t>
      </w:r>
    </w:p>
    <w:p>
      <w:pPr>
        <w:jc w:val="center"/>
        <w:spacing w:after="0"/>
        <w:rPr>
          <w:b/>
          <w:color w:val="000000"/>
          <w:sz w:val="28"/>
          <w:rFonts w:ascii="Times New Roman" w:hAnsi="Times New Roman"/>
        </w:rPr>
      </w:pPr>
      <w:r>
        <w:rPr>
          <w:b/>
          <w:color w:val="000000"/>
          <w:sz w:val="28"/>
          <w:rFonts w:ascii="Times New Roman" w:hAnsi="Times New Roman"/>
        </w:rPr>
        <w:t>SOʻRAYMAN:</w:t>
      </w:r>
    </w:p>
    <w:p>
      <w:pPr>
        <w:jc w:val="center"/>
        <w:spacing w:after="0"/>
        <w:rPr>
          <w:color w:val="000000"/>
          <w:sz w:val="28"/>
          <w:rFonts w:ascii="Times New Roman" w:hAnsi="Times New Roman"/>
        </w:rPr>
      </w:pPr>
    </w:p>
    <w:p>
      <w:pPr>
        <w:jc w:val="both"/>
        <w:spacing w:after="0"/>
        <w:rPr>
          <w:sz w:val="28"/>
          <w:rFonts w:ascii="Times New Roman" w:hAnsi="Times New Roman"/>
        </w:rPr>
      </w:pPr>
      <w:r>
        <w:rPr>
          <w:color w:val="ff0000"/>
          <w:sz w:val="28"/>
          <w:rFonts w:ascii="Times New Roman" w:hAnsi="Times New Roman"/>
        </w:rPr>
        <w:tab/>
      </w:r>
      <w:r>
        <w:rPr>
          <w:sz w:val="28"/>
          <w:rFonts w:ascii="Times New Roman" w:hAnsi="Times New Roman"/>
        </w:rPr>
        <w:t xml:space="preserve">Mazkur iqtisodiy ish boʻyicha kompleks ekspertiza tayinlashingizni.</w:t>
      </w:r>
    </w:p>
    <w:p>
      <w:pPr>
        <w:pStyle w:val="ConsPlusNonformat"/>
        <w:jc w:val="both"/>
        <w:ind w:firstLine="709"/>
        <w:spacing w:line="276" w:lineRule="auto"/>
        <w:rPr>
          <w:b/>
          <w:sz w:val="28"/>
          <w:rFonts w:ascii="Times New Roman" w:hAnsi="Times New Roman"/>
        </w:rPr>
      </w:pPr>
    </w:p>
    <w:p>
      <w:pPr>
        <w:pStyle w:val="ConsPlusNonformat"/>
        <w:jc w:val="both"/>
        <w:ind w:firstLine="709"/>
        <w:spacing w:line="276" w:lineRule="auto"/>
        <w:rPr>
          <w:sz w:val="28"/>
          <w:rFonts w:ascii="Times New Roman" w:hAnsi="Times New Roman"/>
        </w:rPr>
      </w:pPr>
      <w:r>
        <w:rPr>
          <w:b/>
          <w:sz w:val="28"/>
          <w:rFonts w:ascii="Times New Roman" w:hAnsi="Times New Roman"/>
        </w:rPr>
        <w:t xml:space="preserve">Ilova: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Iltimosnomaga ilova qilingan hujjatlar ro‘yxati</w:t>
        <w:fldChar w:fldCharType="end"/>
      </w:r>
    </w:p>
    <w:p>
      <w:pPr>
        <w:pStyle w:val="ConsPlusNonformat"/>
        <w:jc w:val="both"/>
        <w:spacing w:line="276" w:lineRule="auto"/>
        <w:rPr>
          <w:sz w:val="28"/>
          <w:rFonts w:ascii="Times New Roman" w:hAnsi="Times New Roman"/>
        </w:rPr>
      </w:pPr>
    </w:p>
    <w:p>
      <w:pPr>
        <w:pStyle w:val="ConsPlusNonformat"/>
        <w:jc w:val="both"/>
        <w:ind w:firstLine="284"/>
        <w:spacing w:line="276" w:lineRule="auto"/>
        <w:rPr>
          <w:i/>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Iltimosnoma beruvchi yuridik shaxsning nomi va tashkiliy huquqiy shakli</w:t>
        <w:fldChar w:fldCharType="end"/>
      </w: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Iltimosnoma berilgan sana</w:t>
        <w:fldChar w:fldCharType="end"/>
      </w:r>
      <w:r>
        <w:rPr>
          <w:b/>
          <w:sz w:val="28"/>
          <w:rFonts w:ascii="Times New Roman" w:hAnsi="Times New Roman"/>
        </w:rPr>
        <w:t xml:space="preserve">         </w:t>
      </w:r>
    </w:p>
    <w:p>
      <w:pPr>
        <w:jc w:val="both"/>
        <w:spacing w:after="0"/>
        <w:rPr>
          <w:b/>
          <w:sz w:val="28"/>
          <w:rFonts w:ascii="Times New Roman" w:hAnsi="Times New Roman"/>
        </w:rPr>
      </w:pPr>
    </w:p>
    <w:p>
      <w:pPr>
        <w:pStyle w:val="a4"/>
        <w:jc w:val="both"/>
        <w:spacing w:after="0"/>
        <w:rPr>
          <w:sz w:val="28"/>
          <w:rFonts w:ascii="Times New Roman" w:hAnsi="Times New Roman"/>
        </w:rPr>
      </w:pPr>
    </w:p>
    <w:p>
      <w:pPr>
        <w:pStyle w:val="a4"/>
        <w:jc w:val="both"/>
        <w:spacing w:after="0"/>
        <w:rPr>
          <w:sz w:val="28"/>
          <w:rFonts w:ascii="Times New Roman" w:hAnsi="Times New Roman"/>
        </w:rPr>
      </w:pPr>
    </w:p>
    <w:p>
      <w:pPr>
        <w:pStyle w:val="a4"/>
        <w:jc w:val="both"/>
        <w:spacing w:after="0"/>
        <w:rPr>
          <w:sz w:val="28"/>
          <w:rFonts w:ascii="Times New Roman" w:hAnsi="Times New Roman"/>
        </w:rPr>
      </w:pPr>
    </w:p>
    <w:p>
      <w:pPr>
        <w:pStyle w:val="a4"/>
        <w:jc w:val="both"/>
        <w:spacing w:after="0"/>
        <w:rPr>
          <w:sz w:val="28"/>
          <w:rFonts w:ascii="Times New Roman" w:hAnsi="Times New Roman"/>
        </w:rPr>
      </w:pPr>
    </w:p>
    <w:p>
      <w:pPr>
        <w:pStyle w:val="a4"/>
        <w:jc w:val="both"/>
        <w:spacing w:after="0"/>
        <w:rPr>
          <w:sz w:val="28"/>
          <w:rFonts w:ascii="Times New Roman" w:hAnsi="Times New Roman"/>
        </w:rPr>
      </w:pPr>
    </w:p>
    <w:p>
      <w:pPr>
        <w:pStyle w:val="a4"/>
        <w:jc w:val="both"/>
        <w:spacing w:after="0"/>
        <w:rPr>
          <w:sz w:val="28"/>
          <w:rFonts w:ascii="Times New Roman" w:hAnsi="Times New Roman"/>
        </w:rPr>
      </w:pPr>
    </w:p>
    <w:p>
      <w:pPr>
        <w:pStyle w:val="a4"/>
        <w:jc w:val="both"/>
        <w:spacing w:after="0"/>
        <w:rPr>
          <w:sz w:val="28"/>
          <w:rFonts w:ascii="Times New Roman" w:hAnsi="Times New Roman"/>
        </w:rPr>
      </w:pPr>
    </w:p>
    <w:p>
      <w:pPr>
        <w:pStyle w:val="a4"/>
        <w:jc w:val="both"/>
        <w:spacing w:after="0"/>
        <w:rPr>
          <w:sz w:val="28"/>
          <w:rFonts w:ascii="Times New Roman" w:hAnsi="Times New Roman"/>
        </w:rPr>
      </w:pPr>
    </w:p>
    <w:p>
      <w:pPr>
        <w:pStyle w:val="a4"/>
        <w:jc w:val="both"/>
        <w:spacing w:after="0"/>
        <w:rPr>
          <w:sz w:val="28"/>
          <w:rFonts w:ascii="Times New Roman" w:hAnsi="Times New Roman"/>
        </w:rPr>
      </w:pPr>
    </w:p>
    <w:p>
      <w:pPr>
        <w:pStyle w:val="a4"/>
        <w:jc w:val="both"/>
        <w:spacing w:after="0"/>
        <w:rPr>
          <w:sz w:val="28"/>
          <w:rFonts w:ascii="Times New Roman" w:hAnsi="Times New Roman"/>
        </w:rPr>
      </w:pPr>
    </w:p>
    <w:p>
      <w:pPr>
        <w:pStyle w:val="a4"/>
        <w:jc w:val="both"/>
        <w:spacing w:after="0"/>
        <w:rPr>
          <w:sz w:val="28"/>
          <w:rFonts w:ascii="Times New Roman" w:hAnsi="Times New Roman"/>
        </w:rPr>
      </w:pPr>
    </w:p>
    <w:p>
      <w:pPr>
        <w:jc w:val="both"/>
        <w:spacing w:after="0"/>
        <w:rPr>
          <w:b/>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D0568F"/>
    <w:rsid w:val="00077B4E"/>
    <w:rsid w:val="00095483"/>
    <w:rsid w:val="000A663C"/>
    <w:rsid w:val="00113036"/>
    <w:rsid w:val="00171792"/>
    <w:rsid w:val="00172B51"/>
    <w:rsid w:val="001C1B2C"/>
    <w:rsid w:val="00245740"/>
    <w:rsid w:val="0026236E"/>
    <w:rsid w:val="00275BBB"/>
    <w:rsid w:val="002A429F"/>
    <w:rsid w:val="002D3C34"/>
    <w:rsid w:val="002F1112"/>
    <w:rsid w:val="00363C25"/>
    <w:rsid w:val="00367CAF"/>
    <w:rsid w:val="003C156A"/>
    <w:rsid w:val="003D2F2B"/>
    <w:rsid w:val="00416806"/>
    <w:rsid w:val="004246AE"/>
    <w:rsid w:val="0043082E"/>
    <w:rsid w:val="004379FA"/>
    <w:rsid w:val="004547D8"/>
    <w:rsid w:val="004718BA"/>
    <w:rsid w:val="00482439"/>
    <w:rsid w:val="004D5871"/>
    <w:rsid w:val="004E131E"/>
    <w:rsid w:val="004E6318"/>
    <w:rsid w:val="00582785"/>
    <w:rsid w:val="00587D32"/>
    <w:rsid w:val="005D7239"/>
    <w:rsid w:val="00630754"/>
    <w:rsid w:val="00651FF4"/>
    <w:rsid w:val="00667A14"/>
    <w:rsid w:val="006718D3"/>
    <w:rsid w:val="006D50F3"/>
    <w:rsid w:val="006E242D"/>
    <w:rsid w:val="00731279"/>
    <w:rsid w:val="00745300"/>
    <w:rsid w:val="0075215D"/>
    <w:rsid w:val="00760909"/>
    <w:rsid w:val="00792422"/>
    <w:rsid w:val="007C4520"/>
    <w:rsid w:val="007E2A31"/>
    <w:rsid w:val="00836C02"/>
    <w:rsid w:val="008A5F9D"/>
    <w:rsid w:val="008B404F"/>
    <w:rsid w:val="008B61DC"/>
    <w:rsid w:val="008C66B1"/>
    <w:rsid w:val="008E3028"/>
    <w:rsid w:val="008E721C"/>
    <w:rsid w:val="008F1313"/>
    <w:rsid w:val="008F1F90"/>
    <w:rsid w:val="009207E1"/>
    <w:rsid w:val="00920972"/>
    <w:rsid w:val="00945406"/>
    <w:rsid w:val="009C4D18"/>
    <w:rsid w:val="009D67EB"/>
    <w:rsid w:val="009E4CFF"/>
    <w:rsid w:val="00A311E4"/>
    <w:rsid w:val="00A47D55"/>
    <w:rsid w:val="00A51571"/>
    <w:rsid w:val="00A82AF4"/>
    <w:rsid w:val="00A91D33"/>
    <w:rsid w:val="00AE38F3"/>
    <w:rsid w:val="00AF76A7"/>
    <w:rsid w:val="00B026D6"/>
    <w:rsid w:val="00B36514"/>
    <w:rsid w:val="00B63C81"/>
    <w:rsid w:val="00BC4A24"/>
    <w:rsid w:val="00BF00C5"/>
    <w:rsid w:val="00BF396E"/>
    <w:rsid w:val="00C06CCB"/>
    <w:rsid w:val="00C55C6C"/>
    <w:rsid w:val="00C8356F"/>
    <w:rsid w:val="00CC19A1"/>
    <w:rsid w:val="00CE5B81"/>
    <w:rsid w:val="00D0568F"/>
    <w:rsid w:val="00D109F1"/>
    <w:rsid w:val="00DD3B91"/>
    <w:rsid w:val="00F06E96"/>
    <w:rsid w:val="00F06F0E"/>
    <w:rsid w:val="00F76DC7"/>
    <w:rsid w:val="00F9417F"/>
    <w:rsid w:val="00FB293F"/>
    <w:rsid w:val="00FC2036"/>
    <w:rsid w:val="00FF12E8"/>
    <w:rsid w:val="00FF4A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F97EED-F89C-47B3-9634-5EA589461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3C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paragraph" w:styleId="a4">
    <w:name w:val="Body Text"/>
    <w:basedOn w:val="a"/>
    <w:link w:val="a5"/>
    <w:rsid w:val="008C66B1"/>
    <w:pPr>
      <w:suppressAutoHyphens/>
      <w:spacing w:after="120"/>
    </w:pPr>
    <w:rPr>
      <w:rFonts w:ascii="Calibri" w:eastAsia="Calibri" w:hAnsi="Calibri" w:cs="Times New Roman"/>
      <w:lang w:eastAsia="zh-CN"/>
    </w:rPr>
  </w:style>
  <w:style w:type="character" w:customStyle="1" w:styleId="a5">
    <w:name w:val="Основной текст Знак"/>
    <w:basedOn w:val="a0"/>
    <w:link w:val="a4"/>
    <w:rsid w:val="008C66B1"/>
    <w:rPr>
      <w:rFonts w:ascii="Calibri" w:eastAsia="Calibri" w:hAnsi="Calibri" w:cs="Times New Roman"/>
      <w:lang w:eastAsia="zh-CN"/>
    </w:rPr>
  </w:style>
  <w:style w:type="character" w:customStyle="1" w:styleId="clauseprfx">
    <w:name w:val="clauseprfx"/>
    <w:basedOn w:val="a0"/>
    <w:rsid w:val="001C1B2C"/>
  </w:style>
  <w:style w:type="character" w:customStyle="1" w:styleId="clausesuff">
    <w:name w:val="clausesuff"/>
    <w:basedOn w:val="a0"/>
    <w:rsid w:val="001C1B2C"/>
  </w:style>
  <w:style w:type="paragraph" w:customStyle="1" w:styleId="ConsPlusNonformat">
    <w:name w:val="ConsPlusNonformat"/>
    <w:uiPriority w:val="99"/>
    <w:rsid w:val="008F1F90"/>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6">
    <w:name w:val="Hyperlink"/>
    <w:basedOn w:val="a0"/>
    <w:uiPriority w:val="99"/>
    <w:semiHidden/>
    <w:unhideWhenUsed/>
    <w:rsid w:val="00B026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723231">
      <w:bodyDiv w:val="1"/>
      <w:marLeft w:val="0"/>
      <w:marRight w:val="0"/>
      <w:marTop w:val="0"/>
      <w:marBottom w:val="0"/>
      <w:divBdr>
        <w:top w:val="none" w:sz="0" w:space="0" w:color="auto"/>
        <w:left w:val="none" w:sz="0" w:space="0" w:color="auto"/>
        <w:bottom w:val="none" w:sz="0" w:space="0" w:color="auto"/>
        <w:right w:val="none" w:sz="0" w:space="0" w:color="auto"/>
      </w:divBdr>
      <w:divsChild>
        <w:div w:id="1882740532">
          <w:marLeft w:val="0"/>
          <w:marRight w:val="0"/>
          <w:marTop w:val="120"/>
          <w:marBottom w:val="120"/>
          <w:divBdr>
            <w:top w:val="none" w:sz="0" w:space="0" w:color="auto"/>
            <w:left w:val="none" w:sz="0" w:space="0" w:color="auto"/>
            <w:bottom w:val="none" w:sz="0" w:space="0" w:color="auto"/>
            <w:right w:val="none" w:sz="0" w:space="0" w:color="auto"/>
          </w:divBdr>
        </w:div>
        <w:div w:id="302007746">
          <w:marLeft w:val="0"/>
          <w:marRight w:val="0"/>
          <w:marTop w:val="0"/>
          <w:marBottom w:val="150"/>
          <w:divBdr>
            <w:top w:val="none" w:sz="0" w:space="0" w:color="auto"/>
            <w:left w:val="none" w:sz="0" w:space="0" w:color="auto"/>
            <w:bottom w:val="none" w:sz="0" w:space="0" w:color="auto"/>
            <w:right w:val="none" w:sz="0" w:space="0" w:color="auto"/>
          </w:divBdr>
        </w:div>
        <w:div w:id="1190483728">
          <w:marLeft w:val="0"/>
          <w:marRight w:val="0"/>
          <w:marTop w:val="0"/>
          <w:marBottom w:val="150"/>
          <w:divBdr>
            <w:top w:val="none" w:sz="0" w:space="0" w:color="auto"/>
            <w:left w:val="none" w:sz="0" w:space="0" w:color="auto"/>
            <w:bottom w:val="none" w:sz="0" w:space="0" w:color="auto"/>
            <w:right w:val="none" w:sz="0" w:space="0" w:color="auto"/>
          </w:divBdr>
        </w:div>
        <w:div w:id="550969172">
          <w:marLeft w:val="0"/>
          <w:marRight w:val="0"/>
          <w:marTop w:val="0"/>
          <w:marBottom w:val="150"/>
          <w:divBdr>
            <w:top w:val="none" w:sz="0" w:space="0" w:color="auto"/>
            <w:left w:val="none" w:sz="0" w:space="0" w:color="auto"/>
            <w:bottom w:val="none" w:sz="0" w:space="0" w:color="auto"/>
            <w:right w:val="none" w:sz="0" w:space="0" w:color="auto"/>
          </w:divBdr>
        </w:div>
        <w:div w:id="1767382420">
          <w:marLeft w:val="0"/>
          <w:marRight w:val="0"/>
          <w:marTop w:val="0"/>
          <w:marBottom w:val="150"/>
          <w:divBdr>
            <w:top w:val="none" w:sz="0" w:space="0" w:color="auto"/>
            <w:left w:val="none" w:sz="0" w:space="0" w:color="auto"/>
            <w:bottom w:val="none" w:sz="0" w:space="0" w:color="auto"/>
            <w:right w:val="none" w:sz="0" w:space="0" w:color="auto"/>
          </w:divBdr>
        </w:div>
        <w:div w:id="1435444460">
          <w:marLeft w:val="0"/>
          <w:marRight w:val="0"/>
          <w:marTop w:val="0"/>
          <w:marBottom w:val="150"/>
          <w:divBdr>
            <w:top w:val="none" w:sz="0" w:space="0" w:color="auto"/>
            <w:left w:val="none" w:sz="0" w:space="0" w:color="auto"/>
            <w:bottom w:val="none" w:sz="0" w:space="0" w:color="auto"/>
            <w:right w:val="none" w:sz="0" w:space="0" w:color="auto"/>
          </w:divBdr>
        </w:div>
      </w:divsChild>
    </w:div>
    <w:div w:id="478882822">
      <w:bodyDiv w:val="1"/>
      <w:marLeft w:val="0"/>
      <w:marRight w:val="0"/>
      <w:marTop w:val="0"/>
      <w:marBottom w:val="0"/>
      <w:divBdr>
        <w:top w:val="none" w:sz="0" w:space="0" w:color="auto"/>
        <w:left w:val="none" w:sz="0" w:space="0" w:color="auto"/>
        <w:bottom w:val="none" w:sz="0" w:space="0" w:color="auto"/>
        <w:right w:val="none" w:sz="0" w:space="0" w:color="auto"/>
      </w:divBdr>
      <w:divsChild>
        <w:div w:id="1531140633">
          <w:marLeft w:val="0"/>
          <w:marRight w:val="0"/>
          <w:marTop w:val="0"/>
          <w:marBottom w:val="150"/>
          <w:divBdr>
            <w:top w:val="none" w:sz="0" w:space="0" w:color="auto"/>
            <w:left w:val="none" w:sz="0" w:space="0" w:color="auto"/>
            <w:bottom w:val="none" w:sz="0" w:space="0" w:color="auto"/>
            <w:right w:val="none" w:sz="0" w:space="0" w:color="auto"/>
          </w:divBdr>
        </w:div>
        <w:div w:id="626738428">
          <w:marLeft w:val="0"/>
          <w:marRight w:val="0"/>
          <w:marTop w:val="0"/>
          <w:marBottom w:val="150"/>
          <w:divBdr>
            <w:top w:val="none" w:sz="0" w:space="0" w:color="auto"/>
            <w:left w:val="none" w:sz="0" w:space="0" w:color="auto"/>
            <w:bottom w:val="none" w:sz="0" w:space="0" w:color="auto"/>
            <w:right w:val="none" w:sz="0" w:space="0" w:color="auto"/>
          </w:divBdr>
        </w:div>
        <w:div w:id="393700850">
          <w:marLeft w:val="0"/>
          <w:marRight w:val="0"/>
          <w:marTop w:val="0"/>
          <w:marBottom w:val="150"/>
          <w:divBdr>
            <w:top w:val="none" w:sz="0" w:space="0" w:color="auto"/>
            <w:left w:val="none" w:sz="0" w:space="0" w:color="auto"/>
            <w:bottom w:val="none" w:sz="0" w:space="0" w:color="auto"/>
            <w:right w:val="none" w:sz="0" w:space="0" w:color="auto"/>
          </w:divBdr>
        </w:div>
        <w:div w:id="153960677">
          <w:marLeft w:val="0"/>
          <w:marRight w:val="0"/>
          <w:marTop w:val="0"/>
          <w:marBottom w:val="150"/>
          <w:divBdr>
            <w:top w:val="none" w:sz="0" w:space="0" w:color="auto"/>
            <w:left w:val="none" w:sz="0" w:space="0" w:color="auto"/>
            <w:bottom w:val="none" w:sz="0" w:space="0" w:color="auto"/>
            <w:right w:val="none" w:sz="0" w:space="0" w:color="auto"/>
          </w:divBdr>
        </w:div>
      </w:divsChild>
    </w:div>
    <w:div w:id="1621259370">
      <w:bodyDiv w:val="1"/>
      <w:marLeft w:val="0"/>
      <w:marRight w:val="0"/>
      <w:marTop w:val="0"/>
      <w:marBottom w:val="0"/>
      <w:divBdr>
        <w:top w:val="none" w:sz="0" w:space="0" w:color="auto"/>
        <w:left w:val="none" w:sz="0" w:space="0" w:color="auto"/>
        <w:bottom w:val="none" w:sz="0" w:space="0" w:color="auto"/>
        <w:right w:val="none" w:sz="0" w:space="0" w:color="auto"/>
      </w:divBdr>
      <w:divsChild>
        <w:div w:id="1230768987">
          <w:marLeft w:val="0"/>
          <w:marRight w:val="0"/>
          <w:marTop w:val="120"/>
          <w:marBottom w:val="120"/>
          <w:divBdr>
            <w:top w:val="none" w:sz="0" w:space="0" w:color="auto"/>
            <w:left w:val="none" w:sz="0" w:space="0" w:color="auto"/>
            <w:bottom w:val="none" w:sz="0" w:space="0" w:color="auto"/>
            <w:right w:val="none" w:sz="0" w:space="0" w:color="auto"/>
          </w:divBdr>
        </w:div>
        <w:div w:id="593126982">
          <w:marLeft w:val="0"/>
          <w:marRight w:val="0"/>
          <w:marTop w:val="0"/>
          <w:marBottom w:val="150"/>
          <w:divBdr>
            <w:top w:val="none" w:sz="0" w:space="0" w:color="auto"/>
            <w:left w:val="none" w:sz="0" w:space="0" w:color="auto"/>
            <w:bottom w:val="none" w:sz="0" w:space="0" w:color="auto"/>
            <w:right w:val="none" w:sz="0" w:space="0" w:color="auto"/>
          </w:divBdr>
        </w:div>
        <w:div w:id="656807445">
          <w:marLeft w:val="0"/>
          <w:marRight w:val="0"/>
          <w:marTop w:val="60"/>
          <w:marBottom w:val="60"/>
          <w:divBdr>
            <w:top w:val="none" w:sz="0" w:space="0" w:color="auto"/>
            <w:left w:val="none" w:sz="0" w:space="0" w:color="auto"/>
            <w:bottom w:val="none" w:sz="0" w:space="0" w:color="auto"/>
            <w:right w:val="none" w:sz="0" w:space="0" w:color="auto"/>
          </w:divBdr>
        </w:div>
        <w:div w:id="1120881697">
          <w:marLeft w:val="0"/>
          <w:marRight w:val="0"/>
          <w:marTop w:val="0"/>
          <w:marBottom w:val="150"/>
          <w:divBdr>
            <w:top w:val="none" w:sz="0" w:space="0" w:color="auto"/>
            <w:left w:val="none" w:sz="0" w:space="0" w:color="auto"/>
            <w:bottom w:val="none" w:sz="0" w:space="0" w:color="auto"/>
            <w:right w:val="none" w:sz="0" w:space="0" w:color="auto"/>
          </w:divBdr>
        </w:div>
        <w:div w:id="522288652">
          <w:marLeft w:val="0"/>
          <w:marRight w:val="0"/>
          <w:marTop w:val="0"/>
          <w:marBottom w:val="150"/>
          <w:divBdr>
            <w:top w:val="none" w:sz="0" w:space="0" w:color="auto"/>
            <w:left w:val="none" w:sz="0" w:space="0" w:color="auto"/>
            <w:bottom w:val="none" w:sz="0" w:space="0" w:color="auto"/>
            <w:right w:val="none" w:sz="0" w:space="0" w:color="auto"/>
          </w:divBdr>
        </w:div>
        <w:div w:id="1336498194">
          <w:marLeft w:val="0"/>
          <w:marRight w:val="0"/>
          <w:marTop w:val="0"/>
          <w:marBottom w:val="150"/>
          <w:divBdr>
            <w:top w:val="none" w:sz="0" w:space="0" w:color="auto"/>
            <w:left w:val="none" w:sz="0" w:space="0" w:color="auto"/>
            <w:bottom w:val="none" w:sz="0" w:space="0" w:color="auto"/>
            <w:right w:val="none" w:sz="0" w:space="0" w:color="auto"/>
          </w:divBdr>
        </w:div>
        <w:div w:id="108935311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2</Pages>
  <Words>619</Words>
  <Characters>3529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L.Toshmurodov</dc:creator>
  <cp:keywords/>
  <dc:description/>
  <cp:lastModifiedBy>Shakarboy G'oyibnazarov</cp:lastModifiedBy>
  <cp:revision>114</cp:revision>
  <dcterms:created xsi:type="dcterms:W3CDTF">2018-08-27T07:40:00Z</dcterms:created>
  <dcterms:modified xsi:type="dcterms:W3CDTF">2024-03-28T04:18:00Z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iqtisodiy sud nomi</w:name>
    <w:value w:hidden="false">
      <w:unit w:active="false"/>
    </w:value>
  </w:element>
  <w:element w:id="3" w:kind="variable" w:selector="check" w:type="string" w:valueMode="normal" w:required="false" w:groupID="1">
    <w:identifier xml:space="preserve">ID3</w:identifier>
    <w:name xml:space="preserve">Iltimosnoma berilgan sana</w:name>
    <w:value w:hidden="false">
      <w:unit w:active="false"/>
    </w:value>
  </w:element>
  <w:element w:id="4" w:kind="category" w:selector="check" w:type="string" w:valueMode="normal" w:required="false">
    <w:identifier xml:space="preserve">ID4</w:identifier>
    <w:name xml:space="preserve">Iltimosnoma beruvchi</w:name>
    <w:value w:hidden="true">
      <w:unit w:active="false"/>
    </w:value>
  </w:element>
  <w:element w:id="5" w:kind="variable" w:selector="check" w:type="string" w:valueMode="normal" w:required="false" w:groupID="4">
    <w:identifier xml:space="preserve">ID5</w:identifier>
    <w:name xml:space="preserve">Iltimosnoma beruvchi yuridik shaxsning yuridik manzili</w:name>
    <w:value w:hidden="false">
      <w:unit w:active="false"/>
    </w:value>
  </w:element>
  <w:element w:id="6" w:kind="variable" w:selector="check" w:type="string" w:valueMode="normal" w:required="false" w:groupID="4">
    <w:identifier xml:space="preserve">ID6</w:identifier>
    <w:name xml:space="preserve">Iltimosnoma beruvchi yuridik shaxsning nomi va tashkiliy huquqiy shakli</w:name>
    <w:value w:hidden="false">
      <w:unit w:active="false"/>
    </w:value>
  </w:element>
  <w:element w:id="7" w:kind="category" w:selector="check" w:type="string" w:valueMode="normal" w:required="false">
    <w:identifier xml:space="preserve">ID7</w:identifier>
    <w:name xml:space="preserve">Iltimosnoma mazmuni</w:name>
    <w:value w:hidden="true">
      <w:unit w:active="false"/>
    </w:value>
  </w:element>
  <w:element w:id="8" w:kind="variable" w:selector="check" w:type="string" w:valueMode="normal" w:required="false" w:groupID="7">
    <w:identifier xml:space="preserve">ID8</w:identifier>
    <w:name xml:space="preserve">Ish bo‘yicha daʼvogarning F.I.O.si</w:name>
    <w:value w:hidden="false">
      <w:unit w:active="false"/>
    </w:value>
  </w:element>
  <w:element w:id="9" w:kind="variable" w:selector="check" w:type="string" w:valueMode="normal" w:required="false" w:groupID="7">
    <w:identifier xml:space="preserve">ID9</w:identifier>
    <w:name xml:space="preserve">Ish bo‘yicha javobgarning F.I.O.si</w:name>
    <w:value w:hidden="false">
      <w:unit w:active="false"/>
    </w:value>
  </w:element>
  <w:element w:id="10" w:kind="variable" w:selector="check" w:type="string" w:valueMode="normal" w:required="false" w:groupID="7">
    <w:identifier xml:space="preserve">ID10</w:identifier>
    <w:name xml:space="preserve">Daʼvo ariza mazmuni</w:name>
    <w:value w:hidden="false">
      <w:unit w:active="false"/>
    </w:value>
  </w:element>
  <w:element w:id="11" w:kind="variable" w:selector="check" w:type="string" w:valueMode="normal" w:required="false" w:groupID="7">
    <w:identifier xml:space="preserve">ID11</w:identifier>
    <w:name xml:space="preserve">Ekspertiza tayinlangan sana</w:name>
    <w:value w:hidden="false">
      <w:unit w:active="false"/>
    </w:value>
  </w:element>
  <w:element w:id="12" w:kind="variable" w:selector="check" w:type="string" w:valueMode="normal" w:required="false" w:groupID="7">
    <w:identifier xml:space="preserve">ID12</w:identifier>
    <w:name xml:space="preserve">Tayinlangan ekspertiza turi</w:name>
    <w:value w:hidden="false">
      <w:unit w:active="false"/>
    </w:value>
  </w:element>
  <w:element w:id="13" w:kind="variable" w:selector="check" w:type="string" w:valueMode="normal" w:required="false" w:groupID="7">
    <w:identifier xml:space="preserve">ID13</w:identifier>
    <w:name xml:space="preserve">Ekspertiza xulosasi berilgan sana</w:name>
    <w:value w:hidden="false">
      <w:unit w:active="false"/>
    </w:value>
  </w:element>
  <w:element w:id="14" w:kind="variable" w:selector="check" w:type="string" w:valueMode="normal" w:required="false" w:groupID="7">
    <w:identifier xml:space="preserve">ID14</w:identifier>
    <w:name xml:space="preserve">Ekspertiza xulosaning mazmuni</w:name>
    <w:value w:hidden="false">
      <w:unit w:active="false"/>
    </w:value>
  </w:element>
  <w:element w:id="15" w:kind="variable" w:selector="check" w:type="string" w:valueMode="normal" w:required="false" w:groupID="7">
    <w:identifier xml:space="preserve">ID15</w:identifier>
    <w:name xml:space="preserve">Iltimosnoma beruvchi ekspertiza xulosasini asossiz deb hisoblashining sabablari</w:name>
    <w:comment xml:space="preserve">Izoh: Sabablar to‘liq, aniq va asoslangan bo‘lishi lozim</w:comment>
    <w:value w:hidden="false">
      <w:unit w:active="false"/>
    </w:value>
  </w:element>
  <w:element w:id="16" w:kind="variable" w:selector="check" w:type="string" w:valueMode="normal" w:required="false" w:groupID="7">
    <w:identifier xml:space="preserve">ID16</w:identifier>
    <w:name xml:space="preserve">Iltimosnomaga ilova qilingan hujjatlar ro‘yxati</w:name>
    <w:comment xml:space="preserve">Izoh: Iltimosnomaga ish holatiga oid, iltimosnomani asoslovchi barcha hujjatlar,  iltimosnoma nusxasi taraflarga yuborilganligini, tasdiqlovchi hujjatlar va boshqa hujjatlar ilova qilinishi lozim</w:comment>
    <w:value w:hidden="false">
      <w:unit w:active="false"/>
    </w:value>
  </w:element>
</w:structure>
</file>