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i/>
          <w:sz w:val="24"/>
          <w:rFonts w:ascii="Times New Roman" w:hAnsi="Times New Roman"/>
        </w:rPr>
      </w:pPr>
      <w:r>
        <w:rPr>
          <w:b/>
          <w:sz w:val="24"/>
          <w:rFonts w:ascii="Times New Roman" w:hAnsi="Times New Roman"/>
        </w:rPr>
        <w:t xml:space="preserve">KORXONANI SOTISH SHARTNOMASI</w:t>
      </w:r>
    </w:p>
    <w:p>
      <w:pPr>
        <w:jc w:val="center"/>
        <w:spacing w:after="0" w:line="276" w:lineRule="auto"/>
        <w:rPr>
          <w:sz w:val="24"/>
          <w:rFonts w:ascii="Times New Roman" w:hAnsi="Times New Roman"/>
        </w:rPr>
      </w:pPr>
    </w:p>
    <w:p>
      <w:pPr>
        <w:jc w:val="center"/>
        <w:spacing w:after="0" w:line="276" w:lineRule="auto"/>
        <w:rPr>
          <w:b/>
          <w:sz w:val="24"/>
          <w:rFonts w:ascii="Times New Roman" w:hAnsi="Times New Roman"/>
        </w:rPr>
      </w:pPr>
      <w:r>
        <w:rPr>
          <w:vanish w:val="false"/>
          <w:sz w:val="24"/>
          <w:rFonts w:ascii="Times New Roman" w:hAnsi="Times New Roman"/>
        </w:rPr>
        <w:fldChar w:fldCharType="begin"/>
        <w:instrText xml:space="preserve">X {"Y":4}</w:instrText>
        <w:fldChar w:fldCharType="separate"/>
      </w:r>
      <w:r>
        <w:rPr>
          <w:vanish w:val="false"/>
          <w:sz w:val="24"/>
          <w:rFonts w:ascii="Times New Roman" w:hAnsi="Times New Roman"/>
        </w:rPr>
        <w:t xml:space="preserve">Shartnoma tuzilgan sana</w:t>
        <w:fldChar w:fldCharType="end"/>
      </w:r>
      <w:r>
        <w:rPr>
          <w:sz w:val="24"/>
          <w:rFonts w:ascii="Times New Roman" w:hAnsi="Times New Roman"/>
        </w:rPr>
        <w:tab/>
        <w:t xml:space="preserve">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 tuzilgan hudud</w:t>
        <w:fldChar w:fldCharType="end"/>
      </w:r>
    </w:p>
    <w:p>
      <w:pPr>
        <w:jc w:val="both"/>
        <w:spacing w:after="0" w:line="276" w:lineRule="auto"/>
        <w:rPr>
          <w:sz w:val="24"/>
          <w:rFonts w:ascii="Times New Roman" w:hAnsi="Times New Roman"/>
        </w:rPr>
      </w:pPr>
    </w:p>
    <w:p>
      <w:pPr>
        <w:jc w:val="both"/>
        <w:ind w:firstLine="709"/>
        <w:spacing w:after="0" w:line="276" w:lineRule="auto"/>
        <w:rPr>
          <w:sz w:val="24"/>
          <w:rFonts w:ascii="Times New Roman" w:hAnsi="Times New Roman"/>
        </w:rPr>
      </w:pPr>
      <w:r>
        <w:rPr>
          <w:sz w:val="24"/>
          <w:rFonts w:ascii="Times New Roman" w:hAnsi="Times New Roman"/>
        </w:rPr>
        <w:t xml:space="preserve">Keyingi oʻrinlarda “Sotuvchi” deb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Sotuvchining nomi (tashkilot, korxona, yoki tadbirkorning F.I.O.)</w:t>
        <w:fldChar w:fldCharType="end"/>
      </w:r>
      <w:r>
        <w:rPr>
          <w:i/>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Korxonaning faoliyatini belgilovchi hujjat turi</w:t>
        <w:fldChar w:fldCharType="end"/>
      </w:r>
      <w:r>
        <w:rPr>
          <w:i/>
          <w:sz w:val="24"/>
          <w:rFonts w:ascii="Times New Roman" w:hAnsi="Times New Roman"/>
        </w:rPr>
        <w:t xml:space="preserve"> </w:t>
      </w:r>
      <w:r>
        <w:rPr>
          <w:sz w:val="24"/>
          <w:rFonts w:ascii="Times New Roman" w:hAnsi="Times New Roman"/>
        </w:rPr>
        <w:t xml:space="preserve">asosida harakat qiluvchi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Sotuvchi nomidan harakatlanuvchining F.I.O.</w:t>
        <w:fldChar w:fldCharType="end"/>
      </w:r>
      <w:r>
        <w:rPr>
          <w:i/>
          <w:sz w:val="24"/>
          <w:rFonts w:ascii="Times New Roman" w:hAnsi="Times New Roman"/>
        </w:rPr>
        <w:t xml:space="preserve"> </w:t>
      </w:r>
      <w:r>
        <w:rPr>
          <w:sz w:val="24"/>
          <w:rFonts w:ascii="Times New Roman" w:hAnsi="Times New Roman"/>
        </w:rPr>
        <w:t xml:space="preserve">orqali bir tomondan, keyingi oʻrinlarda “Sotib oluvchi” deb ataladigan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Sotib oluvchi korxonaning nomi (tashkilot, korxona yoki tadbirkorning F.I.O.)</w:t>
        <w:fldChar w:fldCharType="end"/>
      </w:r>
      <w:r>
        <w:rPr>
          <w:i/>
          <w:sz w:val="24"/>
          <w:rFonts w:ascii="Times New Roman" w:hAnsi="Times New Roman"/>
        </w:rPr>
        <w:t xml:space="preserve">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Koxonaning faoliyatini belgilovchi hujjat turi</w:t>
        <w:fldChar w:fldCharType="end"/>
      </w:r>
      <w:r>
        <w:rPr>
          <w:i/>
          <w:sz w:val="24"/>
          <w:rFonts w:ascii="Times New Roman" w:hAnsi="Times New Roman"/>
        </w:rPr>
        <w:t xml:space="preserve"> </w:t>
      </w:r>
      <w:r>
        <w:rPr>
          <w:sz w:val="24"/>
          <w:rFonts w:ascii="Times New Roman" w:hAnsi="Times New Roman"/>
        </w:rPr>
        <w:t xml:space="preserve">asosida harakat qiluvchi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Sotib oluvchining nomidan harakatlanuvchining F.I.O.</w:t>
        <w:fldChar w:fldCharType="end"/>
      </w:r>
      <w:r>
        <w:rPr>
          <w:i/>
          <w:sz w:val="24"/>
          <w:rFonts w:ascii="Times New Roman" w:hAnsi="Times New Roman"/>
        </w:rPr>
        <w:t xml:space="preserve"> </w:t>
      </w:r>
      <w:r>
        <w:rPr>
          <w:sz w:val="24"/>
          <w:rFonts w:ascii="Times New Roman" w:hAnsi="Times New Roman"/>
        </w:rPr>
        <w:t xml:space="preserve">ikkinchi tomondan quyidagilar toʻgʻrisida ushbu shartnomani tuzdilar:</w:t>
      </w:r>
    </w:p>
    <w:p>
      <w:pPr>
        <w:jc w:val="center"/>
        <w:spacing w:after="0" w:line="276" w:lineRule="auto"/>
        <w:rPr>
          <w:b/>
          <w:sz w:val="24"/>
          <w:rFonts w:ascii="Times New Roman" w:hAnsi="Times New Roman"/>
        </w:rPr>
      </w:pPr>
      <w:r>
        <w:rPr>
          <w:b/>
          <w:sz w:val="24"/>
          <w:rFonts w:ascii="Times New Roman" w:hAnsi="Times New Roman"/>
        </w:rPr>
        <w:t xml:space="preserve">1. Shartnoma predmeti</w:t>
      </w:r>
    </w:p>
    <w:p>
      <w:pPr>
        <w:jc w:val="both"/>
        <w:ind w:firstLine="567"/>
        <w:spacing w:after="0" w:line="276" w:lineRule="auto"/>
        <w:rPr>
          <w:sz w:val="24"/>
          <w:rFonts w:ascii="Times New Roman" w:hAnsi="Times New Roman"/>
        </w:rPr>
      </w:pPr>
      <w:r>
        <w:rPr>
          <w:sz w:val="24"/>
          <w:rFonts w:ascii="Times New Roman" w:hAnsi="Times New Roman"/>
        </w:rPr>
        <w:t xml:space="preserve">1.1. Sotuvchi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Korxonaning to‘liq nomi</w:t>
        <w:fldChar w:fldCharType="end"/>
      </w:r>
      <w:r>
        <w:rPr>
          <w:sz w:val="24"/>
          <w:rFonts w:ascii="Times New Roman" w:hAnsi="Times New Roman"/>
        </w:rPr>
        <w:t xml:space="preserve"> ni (keyingi oʻrinlarda “korxona” deb yuritiladi) mulkiy majmua sifatida topshirish, Sotib oluvchi esa uni qabul qilib olish va haqini toʻlash</w:t>
      </w:r>
      <w:r>
        <w:rPr>
          <w:color w:val="000000"/>
          <w:sz w:val="24"/>
          <w:rFonts w:ascii="Times New Roman" w:hAnsi="Times New Roman"/>
        </w:rPr>
        <w:t xml:space="preserve"> majburiyatini oladi</w:t>
      </w:r>
      <w:r>
        <w:rPr>
          <w:sz w:val="24"/>
          <w:rFonts w:ascii="Times New Roman" w:hAnsi="Times New Roman"/>
        </w:rPr>
        <w:t>.</w:t>
      </w:r>
    </w:p>
    <w:p>
      <w:pPr>
        <w:jc w:val="both"/>
        <w:ind w:firstLine="567"/>
        <w:spacing w:after="0" w:line="276" w:lineRule="auto"/>
        <w:rPr>
          <w:color w:val="000000"/>
          <w:sz w:val="24"/>
          <w:rFonts w:ascii="Times New Roman" w:hAnsi="Times New Roman"/>
        </w:rPr>
      </w:pPr>
      <w:r>
        <w:rPr>
          <w:sz w:val="24"/>
          <w:rFonts w:ascii="Times New Roman" w:hAnsi="Times New Roman"/>
        </w:rPr>
        <w:t xml:space="preserve">1.2. Sotuvchining f</w:t>
      </w:r>
      <w:r>
        <w:rPr>
          <w:color w:val="000000"/>
          <w:sz w:val="24"/>
          <w:rFonts w:ascii="Times New Roman" w:hAnsi="Times New Roman"/>
        </w:rPr>
        <w:t xml:space="preserve">irma nomi, tovar belgilari, xizmat koʻrsatish belgilari                       va Sotuvchini hamda uning mahsulotini, u bajaradigan ish yoki koʻrsatadigan xizmatlarni shaxsiylashtiradigan boshqa vositalardan foydalanish huquqlari Sotib oluvchiga oʻtadi.</w:t>
      </w:r>
    </w:p>
    <w:p>
      <w:pPr>
        <w:jc w:val="both"/>
        <w:ind w:firstLine="567"/>
        <w:spacing w:after="0" w:line="276" w:lineRule="auto"/>
        <w:rPr>
          <w:sz w:val="24"/>
          <w:rFonts w:ascii="Times New Roman" w:hAnsi="Times New Roman"/>
        </w:rPr>
      </w:pPr>
      <w:r>
        <w:rPr>
          <w:sz w:val="24"/>
          <w:rFonts w:ascii="Times New Roman" w:hAnsi="Times New Roman"/>
        </w:rPr>
        <w:t xml:space="preserve">1.3. Sotilayotgan korxona tarkibi mazkur shartnomaga ilova qilinayotgan inventarizatsiya dalolatnomasiga muvofiq aniqlangan boʻlib, uning tarkibiga quyidagilar kiradi: </w:t>
      </w:r>
    </w:p>
    <w:p>
      <w:pPr>
        <w:jc w:val="both"/>
        <w:ind w:firstLine="567"/>
        <w:spacing w:after="0" w:line="276" w:lineRule="auto"/>
        <w:rPr>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Sotilayotgan korxonaning mol-mulk ro‘yxati</w:t>
        <w:fldChar w:fldCharType="end"/>
      </w:r>
    </w:p>
    <w:p>
      <w:pPr>
        <w:jc w:val="center"/>
        <w:spacing w:after="0" w:line="276" w:lineRule="auto"/>
        <w:rPr>
          <w:b/>
          <w:sz w:val="24"/>
          <w:rFonts w:ascii="Times New Roman" w:hAnsi="Times New Roman"/>
        </w:rPr>
      </w:pPr>
      <w:r>
        <w:rPr>
          <w:b/>
          <w:sz w:val="24"/>
          <w:rFonts w:ascii="Times New Roman" w:hAnsi="Times New Roman"/>
        </w:rPr>
        <w:t xml:space="preserve">2. Shartnoma summasi va hisob-kitob qilish tartibi</w:t>
      </w:r>
    </w:p>
    <w:p>
      <w:pPr>
        <w:jc w:val="both"/>
        <w:ind w:firstLine="567"/>
        <w:spacing w:after="0" w:line="276" w:lineRule="auto"/>
        <w:rPr>
          <w:sz w:val="24"/>
          <w:rFonts w:ascii="Times New Roman" w:hAnsi="Times New Roman"/>
        </w:rPr>
      </w:pPr>
      <w:r>
        <w:rPr>
          <w:sz w:val="24"/>
          <w:rFonts w:ascii="Times New Roman" w:hAnsi="Times New Roman"/>
        </w:rPr>
        <w:t>2.1. K</w:t>
      </w:r>
      <w:r>
        <w:rPr>
          <w:color w:val="000000"/>
          <w:sz w:val="24"/>
          <w:rFonts w:ascii="Times New Roman" w:hAnsi="Times New Roman"/>
        </w:rPr>
        <w:t xml:space="preserve">orxona qiymati shartnomada inventarizatsiyalashning belgilangan qoidalariga muvofiq oʻtkaziladigan korxonani toʻliq inventarizatsiyalash asosida aniqlanadi.</w:t>
      </w:r>
      <w:r>
        <w:rPr>
          <w:sz w:val="24"/>
          <w:rFonts w:ascii="Times New Roman" w:hAnsi="Times New Roman"/>
        </w:rPr>
        <w:t xml:space="preserve"> </w:t>
      </w:r>
    </w:p>
    <w:p>
      <w:pPr>
        <w:jc w:val="both"/>
        <w:ind w:firstLine="567"/>
        <w:spacing w:after="0" w:line="276" w:lineRule="auto"/>
        <w:rPr>
          <w:sz w:val="24"/>
          <w:rFonts w:ascii="Times New Roman" w:hAnsi="Times New Roman"/>
        </w:rPr>
      </w:pPr>
      <w:r>
        <w:rPr>
          <w:sz w:val="24"/>
          <w:rFonts w:ascii="Times New Roman" w:hAnsi="Times New Roman"/>
        </w:rPr>
        <w:t xml:space="preserve">Shu tarzda aniqlangan korxona qiymati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Korxonaning baholangan qiymati</w:t>
        <w:fldChar w:fldCharType="end"/>
      </w:r>
      <w:r>
        <w:rPr>
          <w:sz w:val="24"/>
          <w:rFonts w:ascii="Times New Roman" w:hAnsi="Times New Roman"/>
        </w:rPr>
        <w:t xml:space="preserve"> </w:t>
      </w:r>
      <w:r>
        <w:rPr>
          <w:i/>
          <w:sz w:val="24"/>
          <w:rFonts w:ascii="Times New Roman" w:hAnsi="Times New Roman"/>
        </w:rPr>
        <w:t xml:space="preserve">(yozma ravishda) </w:t>
      </w:r>
      <w:r>
        <w:rPr>
          <w:sz w:val="24"/>
          <w:rFonts w:ascii="Times New Roman" w:hAnsi="Times New Roman"/>
        </w:rPr>
        <w:t xml:space="preserve">soʻmni tashkil etadi.</w:t>
      </w:r>
    </w:p>
    <w:p>
      <w:pPr>
        <w:jc w:val="both"/>
        <w:ind w:firstLine="567"/>
        <w:spacing w:after="0" w:line="276" w:lineRule="auto"/>
        <w:rPr>
          <w:color w:val="000000"/>
          <w:sz w:val="24"/>
          <w:rFonts w:ascii="Times New Roman" w:hAnsi="Times New Roman"/>
        </w:rPr>
      </w:pPr>
      <w:r>
        <w:rPr>
          <w:sz w:val="24"/>
          <w:rFonts w:ascii="Times New Roman" w:hAnsi="Times New Roman"/>
        </w:rPr>
        <w:t>2.2. Sh</w:t>
      </w:r>
      <w:r>
        <w:rPr>
          <w:color w:val="000000"/>
          <w:sz w:val="24"/>
          <w:rFonts w:ascii="Times New Roman" w:hAnsi="Times New Roman"/>
        </w:rPr>
        <w:t xml:space="preserve">artnoma imzolangunga qadar inventarizatsiya dalolatnomasi, buxgalteriya balansi, mustaqil auditorning korxona tarkibi va uning qiymati toʻgʻrisidagi xulosasini, shuningdek kreditorlar, ular qoʻyayotgan talablar xususiyati, miqdori va muddatlari koʻrsatilgan holda korxona tarkibiga kiritiladigan barcha qarz (majburiyat)lar roʻyxatini taraflar tuzgan va koʻrib chiqqan boʻlishi kerak.</w:t>
      </w:r>
    </w:p>
    <w:p>
      <w:pPr>
        <w:jc w:val="both"/>
        <w:ind w:firstLine="567"/>
        <w:spacing w:after="0" w:line="276" w:lineRule="auto"/>
        <w:rPr>
          <w:color w:val="000000"/>
          <w:sz w:val="24"/>
          <w:rFonts w:ascii="Times New Roman" w:hAnsi="Times New Roman"/>
        </w:rPr>
      </w:pPr>
      <w:r>
        <w:rPr>
          <w:color w:val="000000"/>
          <w:sz w:val="24"/>
          <w:rFonts w:ascii="Times New Roman" w:hAnsi="Times New Roman"/>
        </w:rPr>
        <w:t>2.3.</w:t>
      </w:r>
      <w:r>
        <w:rPr>
          <w:sz w:val="24"/>
          <w:rFonts w:ascii="Times New Roman" w:hAnsi="Times New Roman"/>
        </w:rPr>
        <w:t xml:space="preserve"> Sotuvchi va Sotib oluvchi oʻrtasida hisob-kitoblar quyidagi shaklda va tartibda amalga oshiriladi:</w:t>
      </w:r>
    </w:p>
    <w:p>
      <w:pPr>
        <w:jc w:val="center"/>
        <w:spacing w:after="0" w:line="276" w:lineRule="auto"/>
        <w:rPr>
          <w:b/>
          <w:sz w:val="24"/>
          <w:rFonts w:ascii="Times New Roman" w:hAnsi="Times New Roman"/>
        </w:rPr>
      </w:pPr>
      <w:r>
        <w:rPr>
          <w:b/>
          <w:sz w:val="24"/>
          <w:rFonts w:ascii="Times New Roman" w:hAnsi="Times New Roman"/>
        </w:rPr>
        <w:t xml:space="preserve">3. Taraflarning majburiyatlari</w:t>
      </w:r>
    </w:p>
    <w:p>
      <w:pPr>
        <w:jc w:val="both"/>
        <w:ind w:firstLine="567"/>
        <w:spacing w:after="0" w:line="276" w:lineRule="auto"/>
        <w:rPr>
          <w:sz w:val="24"/>
          <w:rFonts w:ascii="Times New Roman" w:hAnsi="Times New Roman"/>
        </w:rPr>
      </w:pPr>
      <w:r>
        <w:rPr>
          <w:sz w:val="24"/>
          <w:rFonts w:ascii="Times New Roman" w:hAnsi="Times New Roman"/>
        </w:rPr>
        <w:t xml:space="preserve">3.1. Sotuvchining majburiyatlari:</w:t>
      </w:r>
    </w:p>
    <w:p>
      <w:pPr>
        <w:jc w:val="both"/>
        <w:ind w:firstLine="567"/>
        <w:spacing w:after="0" w:line="276" w:lineRule="auto"/>
        <w:rPr>
          <w:color w:val="000000"/>
          <w:sz w:val="24"/>
          <w:rFonts w:ascii="Times New Roman" w:hAnsi="Times New Roman"/>
        </w:rPr>
      </w:pPr>
      <w:r>
        <w:rPr>
          <w:color w:val="000000"/>
          <w:sz w:val="24"/>
          <w:rFonts w:ascii="Times New Roman" w:hAnsi="Times New Roman"/>
        </w:rPr>
        <w:t xml:space="preserve">korxonani Sotib oluvchiga topshirishni topshirish dalolatnomasiga muvofiq amalga oshirish va unda korxonaning tarkibi va kreditorlar korxona sotilishi toʻgʻrisida xabardor qilinganligi, shuningdek topshirilgan mol-mulkda aniqlangan kamchiliklar haqida maʼlumotlar va yoʻqolganligi tufayli topshirish majburiyatlari vujudga kelishi mumkin boʻlmaydigan mol-mulkning roʻyxatini koʻrsatish;</w:t>
      </w:r>
    </w:p>
    <w:p>
      <w:pPr>
        <w:jc w:val="both"/>
        <w:ind w:firstLine="567"/>
        <w:spacing w:after="0" w:line="276" w:lineRule="auto"/>
        <w:rPr>
          <w:color w:val="000000"/>
          <w:sz w:val="24"/>
          <w:rFonts w:ascii="Times New Roman" w:hAnsi="Times New Roman"/>
        </w:rPr>
      </w:pPr>
      <w:r>
        <w:rPr>
          <w:color w:val="000000"/>
          <w:sz w:val="24"/>
          <w:rFonts w:ascii="Times New Roman" w:hAnsi="Times New Roman"/>
        </w:rPr>
        <w:t xml:space="preserve">oʻz hisobidan korxonani topshirishga tayyorlash, shu jumladan topshirish dalolatnomasini tuzish va imzolashga taqdim etish;</w:t>
      </w:r>
    </w:p>
    <w:p>
      <w:pPr>
        <w:jc w:val="both"/>
        <w:ind w:firstLine="567"/>
        <w:spacing w:after="0" w:line="276" w:lineRule="auto"/>
        <w:rPr>
          <w:sz w:val="24"/>
          <w:rFonts w:ascii="Times New Roman" w:hAnsi="Times New Roman"/>
        </w:rPr>
      </w:pPr>
      <w:r>
        <w:rPr>
          <w:sz w:val="24"/>
          <w:rFonts w:ascii="Times New Roman" w:hAnsi="Times New Roman"/>
        </w:rPr>
        <w:t xml:space="preserve">mazkur shartnomaning 2.2-bandida koʻrsatilgan barcha hujjatlarni Sotuv oluvchiga topshirish;</w:t>
      </w:r>
    </w:p>
    <w:p>
      <w:pPr>
        <w:jc w:val="both"/>
        <w:ind w:firstLine="567"/>
        <w:spacing w:after="0" w:line="276" w:lineRule="auto"/>
        <w:rPr>
          <w:sz w:val="24"/>
          <w:rFonts w:ascii="Times New Roman" w:hAnsi="Times New Roman"/>
        </w:rPr>
      </w:pPr>
      <w:r>
        <w:rPr>
          <w:sz w:val="24"/>
          <w:rFonts w:ascii="Times New Roman" w:hAnsi="Times New Roman"/>
        </w:rPr>
        <w:t xml:space="preserve">korxona tarkibiga kiritilgan majburiyatlar boʻyicha uning sotilishi toʻgʻrisida barcha kreditorlarni xabardor qilish.</w:t>
      </w:r>
    </w:p>
    <w:p>
      <w:pPr>
        <w:jc w:val="both"/>
        <w:ind w:firstLine="567"/>
        <w:spacing w:after="0" w:line="276" w:lineRule="auto"/>
        <w:rPr>
          <w:sz w:val="24"/>
          <w:rFonts w:ascii="Times New Roman" w:hAnsi="Times New Roman"/>
        </w:rPr>
      </w:pPr>
      <w:r>
        <w:rPr>
          <w:sz w:val="24"/>
          <w:rFonts w:ascii="Times New Roman" w:hAnsi="Times New Roman"/>
        </w:rPr>
        <w:t xml:space="preserve">3.2. Sotib oluvchining majburiyatlari:</w:t>
      </w:r>
    </w:p>
    <w:p>
      <w:pPr>
        <w:jc w:val="both"/>
        <w:ind w:firstLine="567"/>
        <w:spacing w:after="0" w:line="276" w:lineRule="auto"/>
        <w:rPr>
          <w:sz w:val="24"/>
          <w:rFonts w:ascii="Times New Roman" w:hAnsi="Times New Roman"/>
        </w:rPr>
      </w:pPr>
      <w:r>
        <w:rPr>
          <w:sz w:val="24"/>
          <w:rFonts w:ascii="Times New Roman" w:hAnsi="Times New Roman"/>
        </w:rPr>
        <w:t xml:space="preserve">korxona qiymatini shartnomada belgilangan tartib va muddatlarda toʻlash;</w:t>
      </w:r>
    </w:p>
    <w:p>
      <w:pPr>
        <w:jc w:val="both"/>
        <w:ind w:firstLine="567"/>
        <w:spacing w:after="0" w:line="276" w:lineRule="auto"/>
        <w:rPr>
          <w:sz w:val="24"/>
          <w:rFonts w:ascii="Times New Roman" w:hAnsi="Times New Roman"/>
        </w:rPr>
      </w:pPr>
      <w:r>
        <w:rPr>
          <w:sz w:val="24"/>
          <w:rFonts w:ascii="Times New Roman" w:hAnsi="Times New Roman"/>
        </w:rPr>
        <w:t xml:space="preserve">korxona tarkibiga maxsus ruxsatnoma (litsenziya)ga ega boʻlmaganligi uchun bajara olmaydigan majburiyatlar kiritilganligi sababli tegishli litsenziyani olish va yuklatilgan majburiyatlarni oʻz vaqtida bajarish uchun barcha zarur harakatlarni amalga oshirish.</w:t>
      </w:r>
    </w:p>
    <w:p>
      <w:pPr>
        <w:jc w:val="center"/>
        <w:spacing w:after="0" w:line="276" w:lineRule="auto"/>
        <w:rPr>
          <w:b/>
          <w:sz w:val="24"/>
          <w:rFonts w:ascii="Times New Roman" w:hAnsi="Times New Roman"/>
        </w:rPr>
      </w:pPr>
      <w:r>
        <w:rPr>
          <w:b/>
          <w:sz w:val="24"/>
          <w:rFonts w:ascii="Times New Roman" w:hAnsi="Times New Roman"/>
        </w:rPr>
        <w:t xml:space="preserve">4. Taraflarning javobgarligi va nizolarni hal qilish tartibi</w:t>
      </w:r>
    </w:p>
    <w:p>
      <w:pPr>
        <w:jc w:val="both"/>
        <w:ind w:firstLine="567"/>
        <w:spacing w:after="0" w:line="276" w:lineRule="auto"/>
        <w:rPr>
          <w:sz w:val="24"/>
          <w:rFonts w:ascii="Times New Roman" w:hAnsi="Times New Roman"/>
        </w:rPr>
      </w:pPr>
      <w:r>
        <w:rPr>
          <w:sz w:val="24"/>
          <w:rFonts w:ascii="Times New Roman" w:hAnsi="Times New Roman"/>
        </w:rPr>
        <w:t xml:space="preserve">4.1. Korxona tarkibiga maxsus ruxsatnoma (litsenziya)ga ega boʻlmaganligi uchun Sotib oluvchi bajara olmaydigan majburiyatlar kiritilganligi sababli, Sotuvchi shu kreditorlar oldida solidar javobgar boʻladi. </w:t>
      </w:r>
    </w:p>
    <w:p>
      <w:pPr>
        <w:jc w:val="both"/>
        <w:ind w:firstLine="567"/>
        <w:spacing w:after="0" w:line="276" w:lineRule="auto"/>
        <w:rPr>
          <w:color w:val="000000"/>
          <w:sz w:val="24"/>
          <w:rFonts w:ascii="Times New Roman" w:hAnsi="Times New Roman"/>
        </w:rPr>
      </w:pPr>
      <w:r>
        <w:rPr>
          <w:sz w:val="24"/>
          <w:rFonts w:ascii="Times New Roman" w:hAnsi="Times New Roman"/>
        </w:rPr>
        <w:t>4.2.</w:t>
      </w:r>
      <w:r>
        <w:rPr>
          <w:color w:val="000000"/>
          <w:sz w:val="24"/>
          <w:rFonts w:ascii="Times New Roman" w:hAnsi="Times New Roman"/>
        </w:rPr>
        <w:t xml:space="preserve"> Korxona Sotib oluvchiga topshirilganidan soʻng Sotuvchi va Sotib oluvchi topshirilgan korxona tarkibiga kiritilgan, Sotib oluvchiga kreditorning roziligisiz oʻtkazilgan qarzlar boʻyicha solidar javobgar boʻladilar.</w:t>
      </w:r>
    </w:p>
    <w:p>
      <w:pPr>
        <w:jc w:val="both"/>
        <w:ind w:firstLine="567"/>
        <w:spacing w:after="0" w:line="276" w:lineRule="auto"/>
        <w:rPr>
          <w:sz w:val="24"/>
          <w:rFonts w:ascii="Times New Roman" w:hAnsi="Times New Roman"/>
        </w:rPr>
      </w:pPr>
      <w:r>
        <w:rPr>
          <w:sz w:val="24"/>
          <w:rFonts w:ascii="Times New Roman" w:hAnsi="Times New Roman"/>
        </w:rPr>
        <w:t xml:space="preserve">4.3. Taraflar shartnoma majburiyatlarini bajarmagan yoki lozim darajada bajarmagan taqdirda amaldagi qonun hujjatlariga muvofiq javobgarlikka tortiladilar.</w:t>
      </w:r>
    </w:p>
    <w:p>
      <w:pPr>
        <w:jc w:val="both"/>
        <w:ind w:firstLine="567"/>
        <w:spacing w:after="0" w:line="276" w:lineRule="auto"/>
        <w:rPr>
          <w:sz w:val="24"/>
          <w:rFonts w:ascii="Times New Roman" w:hAnsi="Times New Roman"/>
        </w:rPr>
      </w:pPr>
      <w:r>
        <w:rPr>
          <w:sz w:val="24"/>
          <w:rFonts w:ascii="Times New Roman" w:hAnsi="Times New Roman"/>
        </w:rPr>
        <w:t xml:space="preserve">4.4. Ushbu shartnoma yuzasidan yoki u bilan bogʻliq holda taraflar oʻrtasida kelib chiqadigan nizo va ziddiyatlar taraflar oʻrtasida muzokaralar olib borish yoʻli bilan hal etiladi.</w:t>
      </w:r>
    </w:p>
    <w:p>
      <w:pPr>
        <w:jc w:val="both"/>
        <w:ind w:firstLine="567"/>
        <w:spacing w:after="0" w:line="276" w:lineRule="auto"/>
        <w:rPr>
          <w:sz w:val="24"/>
          <w:rFonts w:ascii="Times New Roman" w:hAnsi="Times New Roman"/>
        </w:rPr>
      </w:pPr>
      <w:r>
        <w:rPr>
          <w:sz w:val="24"/>
          <w:rFonts w:ascii="Times New Roman" w:hAnsi="Times New Roman"/>
        </w:rPr>
        <w:t xml:space="preserve">Muzokaralar olib borish yoʻli bilan nizoni hal etish imkoniyati boʻlmagan taqdirda, nizo talabnoma bildirish tartibiga rioya qilingandan keyin sudda koʻrib chiqiladi.</w:t>
      </w:r>
    </w:p>
    <w:p>
      <w:pPr>
        <w:jc w:val="center"/>
        <w:ind w:left="360"/>
        <w:spacing w:after="0" w:line="276" w:lineRule="auto"/>
        <w:rPr>
          <w:b/>
          <w:sz w:val="24"/>
          <w:rFonts w:ascii="Times New Roman" w:hAnsi="Times New Roman"/>
        </w:rPr>
      </w:pPr>
      <w:r>
        <w:rPr>
          <w:b/>
          <w:sz w:val="24"/>
          <w:rFonts w:ascii="Times New Roman" w:hAnsi="Times New Roman"/>
        </w:rPr>
        <w:t xml:space="preserve">5. Boshqa shartlar</w:t>
      </w:r>
    </w:p>
    <w:p>
      <w:pPr>
        <w:jc w:val="both"/>
        <w:ind w:firstLine="567"/>
        <w:spacing w:after="0" w:line="276" w:lineRule="auto"/>
        <w:rPr>
          <w:sz w:val="24"/>
          <w:rFonts w:ascii="Times New Roman" w:hAnsi="Times New Roman"/>
        </w:rPr>
      </w:pPr>
      <w:r>
        <w:rPr>
          <w:sz w:val="24"/>
          <w:rFonts w:ascii="Times New Roman" w:hAnsi="Times New Roman"/>
        </w:rPr>
        <w:t xml:space="preserve">5.1. Sotuvchining korxonani Sotib oluvchiga topshirishi topshirish dalolatnomasiga muvofiq amalga oshiriladi.</w:t>
      </w:r>
    </w:p>
    <w:p>
      <w:pPr>
        <w:jc w:val="both"/>
        <w:ind w:firstLine="567"/>
        <w:spacing w:after="0" w:line="276" w:lineRule="auto"/>
        <w:rPr>
          <w:sz w:val="24"/>
          <w:rFonts w:ascii="Times New Roman" w:hAnsi="Times New Roman"/>
        </w:rPr>
      </w:pPr>
      <w:r>
        <w:rPr>
          <w:sz w:val="24"/>
          <w:rFonts w:ascii="Times New Roman" w:hAnsi="Times New Roman"/>
        </w:rPr>
        <w:t xml:space="preserve">Topshirish dalolatnomasida:</w:t>
      </w:r>
    </w:p>
    <w:p>
      <w:pPr>
        <w:jc w:val="both"/>
        <w:ind w:firstLine="567"/>
        <w:spacing w:after="0" w:line="276" w:lineRule="auto"/>
        <w:rPr>
          <w:sz w:val="24"/>
          <w:rFonts w:ascii="Times New Roman" w:hAnsi="Times New Roman"/>
        </w:rPr>
      </w:pPr>
      <w:r>
        <w:rPr>
          <w:sz w:val="24"/>
          <w:rFonts w:ascii="Times New Roman" w:hAnsi="Times New Roman"/>
        </w:rPr>
        <w:t xml:space="preserve">korxonaning tarkibi; </w:t>
      </w:r>
    </w:p>
    <w:p>
      <w:pPr>
        <w:jc w:val="both"/>
        <w:ind w:firstLine="567"/>
        <w:spacing w:after="0" w:line="276" w:lineRule="auto"/>
        <w:rPr>
          <w:sz w:val="24"/>
          <w:rFonts w:ascii="Times New Roman" w:hAnsi="Times New Roman"/>
        </w:rPr>
      </w:pPr>
      <w:r>
        <w:rPr>
          <w:sz w:val="24"/>
          <w:rFonts w:ascii="Times New Roman" w:hAnsi="Times New Roman"/>
        </w:rPr>
        <w:t xml:space="preserve">kreditorlar korxona sotilishi toʻgʻrisida xabardor qilinganligi, topshirilgan mol-mulkda aniqlangan kamchiliklar haqida maʼlumotlar;</w:t>
      </w:r>
    </w:p>
    <w:p>
      <w:pPr>
        <w:jc w:val="both"/>
        <w:ind w:firstLine="567"/>
        <w:spacing w:after="0" w:line="276" w:lineRule="auto"/>
        <w:rPr>
          <w:sz w:val="24"/>
          <w:rFonts w:ascii="Times New Roman" w:hAnsi="Times New Roman"/>
        </w:rPr>
      </w:pPr>
      <w:r>
        <w:rPr>
          <w:sz w:val="24"/>
          <w:rFonts w:ascii="Times New Roman" w:hAnsi="Times New Roman"/>
        </w:rPr>
        <w:t xml:space="preserve">yoʻqolganligi tufayli topshirish majburiyatlari vujudga kelishi mumkin boʻlmaydigan mol-mulkning roʻyxati koʻrsatiladi.</w:t>
      </w:r>
    </w:p>
    <w:p>
      <w:pPr>
        <w:jc w:val="both"/>
        <w:ind w:firstLine="567"/>
        <w:spacing w:after="0" w:line="276" w:lineRule="auto"/>
        <w:rPr>
          <w:sz w:val="24"/>
          <w:rFonts w:ascii="Times New Roman" w:hAnsi="Times New Roman"/>
        </w:rPr>
      </w:pPr>
      <w:r>
        <w:rPr>
          <w:sz w:val="24"/>
          <w:rFonts w:ascii="Times New Roman" w:hAnsi="Times New Roman"/>
        </w:rPr>
        <w:t xml:space="preserve">5.2. Taraflar topshirish dalolatnomasini imzolagan kundan boshlab korxona Sotib oluvchiga topshirilgan hisoblanadi. Shu paytdan boshlab korxona tarkibida topshirilgan mol-mulkning tasodifan nobud boʻlishi yoki tasodifan buzilishi xavfi Sotib oluvchiga oʻtadi.</w:t>
      </w:r>
    </w:p>
    <w:p>
      <w:pPr>
        <w:jc w:val="both"/>
        <w:ind w:firstLine="567"/>
        <w:spacing w:after="0" w:line="276" w:lineRule="auto"/>
        <w:rPr>
          <w:sz w:val="24"/>
          <w:rFonts w:ascii="Times New Roman" w:hAnsi="Times New Roman"/>
        </w:rPr>
      </w:pPr>
      <w:r>
        <w:rPr>
          <w:sz w:val="24"/>
          <w:rFonts w:ascii="Times New Roman" w:hAnsi="Times New Roman"/>
        </w:rPr>
        <w:t xml:space="preserve">5.3. Korxona Sotib oluvchiga topshirilgan paytdan boshlab korxonaga mulk huquqi Sotib oluvchiga oʻtadi va davlat roʻyxatidan oʻtkaziladi. Korxonaga mulk huquqining oʻtish payti bu huquqning davlat roʻyxatidan oʻtkazilishi payti bilan belgilanadi.</w:t>
      </w:r>
    </w:p>
    <w:p>
      <w:pPr>
        <w:jc w:val="both"/>
        <w:ind w:firstLine="567"/>
        <w:spacing w:after="0" w:line="276" w:lineRule="auto"/>
        <w:rPr>
          <w:sz w:val="24"/>
          <w:rFonts w:ascii="Times New Roman" w:hAnsi="Times New Roman"/>
        </w:rPr>
      </w:pPr>
      <w:r>
        <w:rPr>
          <w:sz w:val="24"/>
          <w:rFonts w:ascii="Times New Roman" w:hAnsi="Times New Roman"/>
        </w:rPr>
        <w:t xml:space="preserve">5.4. Sotib oluvchiga korxona tarkibida Sotuvchining mazkur shartnomada yoki topshirish dalolatnomasida koʻrsatilmagan qarzlari (majburiyatlari) ham topshirilgan taqdirda, agar Sotib oluvchi shartnoma tuzish va korxonani topshirish vaqtida bunday qarz (majburiyat)lar borligini bilganini Sotuvchi isbotlamasa, Sotib oluvchi xarid narxini kamaytirishni talab qilish huquqiga ega.</w:t>
      </w:r>
    </w:p>
    <w:p>
      <w:pPr>
        <w:jc w:val="both"/>
        <w:ind w:firstLine="567"/>
        <w:spacing w:after="0" w:line="276" w:lineRule="auto"/>
        <w:rPr>
          <w:sz w:val="24"/>
          <w:rFonts w:ascii="Times New Roman" w:hAnsi="Times New Roman"/>
        </w:rPr>
      </w:pPr>
      <w:r>
        <w:rPr>
          <w:sz w:val="24"/>
          <w:rFonts w:ascii="Times New Roman" w:hAnsi="Times New Roman"/>
        </w:rPr>
        <w:t xml:space="preserve">5.5. Sotuvchi korxona tarkibida topshirilgan mol-mulkdagi kamchiliklar toʻgʻrisida yoki topshirilishi lozim boʻlgan ayrim turdagi mol-mulkning bu tarkibda yoʻqligi toʻgʻrisida Sotib oluvchidan bildirish xati olgan hollarda tegishli darajada sifatli boʻlmagan mol-mulkni darhol almashtirishi yoki Sotib oluvchiga yetishmayotgan mol-mulkni berishi mumkin.</w:t>
      </w:r>
    </w:p>
    <w:p>
      <w:pPr>
        <w:jc w:val="both"/>
        <w:ind w:firstLine="567"/>
        <w:spacing w:after="0" w:line="276" w:lineRule="auto"/>
        <w:rPr>
          <w:sz w:val="24"/>
          <w:rFonts w:ascii="Times New Roman" w:hAnsi="Times New Roman"/>
        </w:rPr>
      </w:pPr>
      <w:r>
        <w:rPr>
          <w:sz w:val="24"/>
          <w:rFonts w:ascii="Times New Roman" w:hAnsi="Times New Roman"/>
        </w:rPr>
        <w:t xml:space="preserve">5.6. Korxonaning Sotuvchi javobgar boʻlgan kamchiliklar tufayli mazkur shartnomada aytib oʻtilgan maqsadlar uchun yaroqsizligi va bu kamchiliklar amaldagi qonun hujjatlariga muvofiq belgilangan shartlarda, tartib va muddatlarda Sotuvchi tomonidan bartaraf qilinmaganligi yoki bunday kamchiliklarni bartaraf qilib boʻlmasligi aniqlangan boʻlsa, Sotib oluvchi ushbu shartnomani bekor qilish yoki oʻzgartirishni va taraflar shartnomaga muvofiq bajarganlarini qaytarishni sud tartibida talab qilish huquqiga ega.</w:t>
      </w:r>
    </w:p>
    <w:p>
      <w:pPr>
        <w:jc w:val="center"/>
        <w:ind w:firstLine="567"/>
        <w:spacing w:after="0" w:line="276" w:lineRule="auto"/>
        <w:rPr>
          <w:b/>
          <w:sz w:val="24"/>
          <w:rFonts w:ascii="Times New Roman" w:hAnsi="Times New Roman"/>
        </w:rPr>
      </w:pPr>
      <w:r>
        <w:rPr>
          <w:b/>
          <w:sz w:val="24"/>
          <w:rFonts w:ascii="Times New Roman" w:hAnsi="Times New Roman"/>
        </w:rPr>
        <w:t xml:space="preserve">6. Yakuniy qoidalar</w:t>
      </w:r>
    </w:p>
    <w:p>
      <w:pPr>
        <w:jc w:val="both"/>
        <w:ind w:firstLine="567"/>
        <w:spacing w:after="0" w:line="240" w:lineRule="auto"/>
        <w:rPr>
          <w:sz w:val="24"/>
          <w:rFonts w:ascii="Times New Roman" w:hAnsi="Times New Roman"/>
        </w:rPr>
      </w:pPr>
      <w:r>
        <w:rPr>
          <w:sz w:val="24"/>
          <w:rFonts w:ascii="Times New Roman" w:hAnsi="Times New Roman"/>
        </w:rPr>
        <w:t xml:space="preserve">6.1. Ushbu shartnoma taraflar imzolagan yozma shakldagi bitta hujjat tarzida tuzilib, u notarial guvohlantirilishi hamda davlat roʻyxatidan oʻtkazilishi lozim. </w:t>
      </w:r>
    </w:p>
    <w:p>
      <w:pPr>
        <w:jc w:val="both"/>
        <w:ind w:firstLine="567"/>
        <w:spacing w:after="0" w:line="240" w:lineRule="auto"/>
        <w:rPr>
          <w:sz w:val="24"/>
          <w:rFonts w:ascii="Times New Roman" w:hAnsi="Times New Roman"/>
        </w:rPr>
      </w:pPr>
      <w:r>
        <w:rPr>
          <w:sz w:val="24"/>
          <w:rFonts w:ascii="Times New Roman" w:hAnsi="Times New Roman"/>
        </w:rPr>
        <w:t xml:space="preserve">Mazkur shartnoma davlat roʻyxatidan oʻtkazilgan paytdan boshlab tuzilgan deb hisoblanadi.</w:t>
      </w:r>
    </w:p>
    <w:p>
      <w:pPr>
        <w:jc w:val="both"/>
        <w:ind w:firstLine="567"/>
        <w:spacing w:after="0" w:line="240" w:lineRule="auto"/>
        <w:rPr>
          <w:sz w:val="24"/>
          <w:rFonts w:ascii="Times New Roman" w:hAnsi="Times New Roman"/>
        </w:rPr>
      </w:pPr>
      <w:r>
        <w:rPr>
          <w:sz w:val="24"/>
          <w:rFonts w:ascii="Times New Roman" w:hAnsi="Times New Roman"/>
        </w:rPr>
        <w:t xml:space="preserve">6.2. Mazkur shartnoma 3 nusxada tuzilgan boʻlib, birinchi nusxasi Sotuvchiga, ikkinchisi Sotib oluvchiga va uchinchisi (davlat roʻyxatidan oʻtkazuvchi organ nomi)ga saqlash uchun beriladi.</w:t>
      </w:r>
    </w:p>
    <w:p>
      <w:pPr>
        <w:jc w:val="center"/>
        <w:spacing w:after="0" w:line="240" w:lineRule="auto"/>
        <w:tabs>
          <w:tab w:val="left" w:pos="10065"/>
        </w:tabs>
        <w:rPr>
          <w:b/>
          <w:sz w:val="24"/>
          <w:rFonts w:ascii="Times New Roman" w:hAnsi="Times New Roman"/>
        </w:rPr>
      </w:pPr>
      <w:r>
        <w:rPr>
          <w:b/>
          <w:sz w:val="24"/>
          <w:rFonts w:ascii="Times New Roman" w:hAnsi="Times New Roman"/>
        </w:rPr>
        <w:t xml:space="preserve">7. Taraflarning rekvizitlari</w:t>
      </w:r>
    </w:p>
    <w:p>
      <w:pPr>
        <w:jc w:val="center"/>
        <w:spacing w:after="0" w:line="240" w:lineRule="auto"/>
        <w:tabs>
          <w:tab w:val="left" w:pos="10065"/>
        </w:tabs>
        <w:rPr>
          <w:b/>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61"/>
        <w:gridCol w:w="4694"/>
      </w:tblGrid>
      <w:tr>
        <w:tc>
          <w:tcPr>
            <w:tcW w:w="4785" w:type="dxa"/>
          </w:tcPr>
          <w:p>
            <w:pPr>
              <w:ind w:left="-533" w:firstLine="533"/>
              <w:spacing w:line="256" w:lineRule="auto"/>
              <w:tabs>
                <w:tab w:val="left" w:pos="10065"/>
              </w:tabs>
              <w:rPr>
                <w:b/>
                <w:sz w:val="24"/>
                <w:rFonts w:ascii="Times New Roman" w:hAnsi="Times New Roman"/>
              </w:rPr>
            </w:pPr>
            <w:r>
              <w:rPr>
                <w:b/>
                <w:sz w:val="24"/>
                <w:rFonts w:ascii="Times New Roman" w:hAnsi="Times New Roman"/>
              </w:rPr>
              <w:t>Sotuvchi:</w:t>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Sotuvchining hisob raqami</w:t>
              <w:fldChar w:fldCharType="end"/>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Sotuvchining valyuta hisob raqami</w:t>
              <w:fldChar w:fldCharType="end"/>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Bank nomi</w:t>
              <w:fldChar w:fldCharType="end"/>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Bank raqami (kodi) MFO</w:t>
              <w:fldChar w:fldCharType="end"/>
            </w:r>
          </w:p>
          <w:p>
            <w:pPr>
              <w:jc w:val="both"/>
              <w:ind w:left="-533" w:firstLine="533"/>
              <w:spacing w:line="256" w:lineRule="auto"/>
              <w:tabs>
                <w:tab w:val="left" w:pos="426"/>
                <w:tab w:val="left" w:pos="10065"/>
              </w:tabs>
              <w:rPr>
                <w:sz w:val="24"/>
                <w:rFonts w:ascii="Times New Roman" w:hAnsi="Times New Roman"/>
              </w:rPr>
            </w:pP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Sotuvchining STIR raqami</w:t>
              <w:fldChar w:fldCharType="end"/>
            </w:r>
            <w:r>
              <w:rPr>
                <w:sz w:val="24"/>
                <w:rFonts w:ascii="Times New Roman" w:hAnsi="Times New Roman"/>
              </w:rPr>
              <w:t>,</w:t>
            </w:r>
          </w:p>
          <w:p>
            <w:pPr>
              <w:jc w:val="both"/>
              <w:ind w:left="-533" w:firstLine="533"/>
              <w:spacing w:line="256" w:lineRule="auto"/>
              <w:tabs>
                <w:tab w:val="left" w:pos="426"/>
                <w:tab w:val="left" w:pos="10065"/>
              </w:tabs>
              <w:rPr>
                <w:sz w:val="24"/>
                <w:rFonts w:ascii="Times New Roman" w:hAnsi="Times New Roman"/>
              </w:rPr>
            </w:pP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Sotuvchining telefon raqamlari</w:t>
              <w:fldChar w:fldCharType="end"/>
            </w:r>
          </w:p>
          <w:p>
            <w:pPr>
              <w:jc w:val="both"/>
              <w:ind w:left="-533" w:firstLine="533"/>
              <w:spacing w:line="256" w:lineRule="auto"/>
              <w:tabs>
                <w:tab w:val="left" w:pos="426"/>
                <w:tab w:val="left" w:pos="10065"/>
              </w:tabs>
              <w:rPr>
                <w:sz w:val="24"/>
                <w:rFonts w:ascii="Times New Roman" w:hAnsi="Times New Roman"/>
              </w:rPr>
            </w:pPr>
            <w:r>
              <w:rPr>
                <w:sz w:val="24"/>
                <w:rFonts w:ascii="Times New Roman" w:hAnsi="Times New Roman"/>
              </w:rPr>
              <w:t xml:space="preserve">Tovarni yuklash rekvizitlari:</w:t>
            </w:r>
          </w:p>
          <w:p>
            <w:pPr>
              <w:jc w:val="both"/>
              <w:ind w:left="-533"/>
              <w:spacing w:line="256" w:lineRule="auto"/>
              <w:tabs>
                <w:tab w:val="left" w:pos="426"/>
                <w:tab w:val="left" w:pos="10065"/>
              </w:tabs>
              <w:rPr>
                <w:sz w:val="24"/>
                <w:rFonts w:ascii="Times New Roman" w:hAnsi="Times New Roman"/>
              </w:rPr>
            </w:pPr>
          </w:p>
          <w:p>
            <w:pPr>
              <w:jc w:val="both"/>
              <w:ind w:left="-533"/>
              <w:spacing w:line="256" w:lineRule="auto"/>
              <w:tabs>
                <w:tab w:val="left" w:pos="426"/>
                <w:tab w:val="left" w:pos="10065"/>
              </w:tabs>
              <w:rPr>
                <w:sz w:val="24"/>
                <w:rFonts w:ascii="Times New Roman" w:hAnsi="Times New Roman"/>
              </w:rPr>
            </w:pPr>
            <w:r>
              <w:rPr>
                <w:sz w:val="24"/>
                <w:rFonts w:ascii="Times New Roman" w:hAnsi="Times New Roman"/>
              </w:rPr>
              <w:t>_______________________________</w:t>
            </w:r>
          </w:p>
          <w:p>
            <w:pPr>
              <w:jc w:val="both"/>
              <w:ind w:left="-533"/>
              <w:spacing w:line="256" w:lineRule="auto"/>
              <w:tabs>
                <w:tab w:val="left" w:pos="426"/>
                <w:tab w:val="left" w:pos="10065"/>
              </w:tabs>
              <w:rPr>
                <w:sz w:val="24"/>
                <w:rFonts w:ascii="Times New Roman" w:hAnsi="Times New Roman"/>
              </w:rPr>
            </w:pPr>
          </w:p>
          <w:p>
            <w:pPr>
              <w:jc w:val="both"/>
              <w:ind w:left="-533"/>
              <w:spacing w:line="256" w:lineRule="auto"/>
              <w:tabs>
                <w:tab w:val="left" w:pos="426"/>
                <w:tab w:val="left" w:pos="10065"/>
              </w:tabs>
              <w:rPr>
                <w:sz w:val="24"/>
                <w:rFonts w:ascii="Times New Roman" w:hAnsi="Times New Roman"/>
              </w:rPr>
            </w:pPr>
          </w:p>
        </w:tc>
        <w:tc>
          <w:tcPr>
            <w:tcW w:w="4786" w:type="dxa"/>
          </w:tcPr>
          <w:p>
            <w:pPr>
              <w:ind w:left="-533" w:firstLine="533"/>
              <w:spacing w:line="256" w:lineRule="auto"/>
              <w:tabs>
                <w:tab w:val="left" w:pos="10065"/>
              </w:tabs>
              <w:rPr>
                <w:b/>
                <w:sz w:val="24"/>
                <w:rFonts w:ascii="Times New Roman" w:hAnsi="Times New Roman"/>
              </w:rPr>
            </w:pPr>
            <w:r>
              <w:rPr>
                <w:b/>
                <w:sz w:val="24"/>
                <w:rFonts w:ascii="Times New Roman" w:hAnsi="Times New Roman"/>
              </w:rPr>
              <w:t xml:space="preserve">Sotib oluvchi:</w:t>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Sotib oluvchining hisob raqami</w:t>
              <w:fldChar w:fldCharType="end"/>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Sotib oluvchining valyuta hisob raqami</w:t>
              <w:fldChar w:fldCharType="end"/>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Bank nomi</w:t>
              <w:fldChar w:fldCharType="end"/>
            </w:r>
            <w:r>
              <w:rPr>
                <w:sz w:val="24"/>
                <w:rFonts w:ascii="Times New Roman" w:hAnsi="Times New Roman"/>
              </w:rPr>
              <w:t xml:space="preserve"> </w:t>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Bank raqam (kodi) MFO</w:t>
              <w:fldChar w:fldCharType="end"/>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Sotib oluvchining STIR raqami</w:t>
              <w:fldChar w:fldCharType="end"/>
            </w:r>
            <w:r>
              <w:rPr>
                <w:sz w:val="24"/>
                <w:rFonts w:ascii="Times New Roman" w:hAnsi="Times New Roman"/>
              </w:rPr>
              <w:t>,</w:t>
            </w:r>
          </w:p>
          <w:p>
            <w:pPr>
              <w:jc w:val="both"/>
              <w:ind w:left="-533" w:firstLine="533"/>
              <w:spacing w:line="256" w:lineRule="auto"/>
              <w:tabs>
                <w:tab w:val="left" w:pos="10065"/>
              </w:tabs>
              <w:rPr>
                <w:sz w:val="24"/>
                <w:rFonts w:ascii="Times New Roman" w:hAnsi="Times New Roman"/>
              </w:rPr>
            </w:pP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Sotib oluvchining telefon raqamlari</w:t>
              <w:fldChar w:fldCharType="end"/>
            </w:r>
          </w:p>
          <w:p>
            <w:pPr>
              <w:jc w:val="both"/>
              <w:ind w:left="-533" w:firstLine="533"/>
              <w:spacing w:line="256" w:lineRule="auto"/>
              <w:tabs>
                <w:tab w:val="left" w:pos="10065"/>
              </w:tabs>
              <w:rPr>
                <w:sz w:val="24"/>
                <w:rFonts w:ascii="Times New Roman" w:hAnsi="Times New Roman"/>
              </w:rPr>
            </w:pPr>
            <w:r>
              <w:rPr>
                <w:sz w:val="24"/>
                <w:rFonts w:ascii="Times New Roman" w:hAnsi="Times New Roman"/>
              </w:rPr>
              <w:t xml:space="preserve">Tovarni yuklash rekvizitlari:</w:t>
            </w:r>
          </w:p>
          <w:p>
            <w:pPr>
              <w:jc w:val="both"/>
              <w:ind w:left="-533"/>
              <w:spacing w:line="256" w:lineRule="auto"/>
              <w:tabs>
                <w:tab w:val="left" w:pos="10065"/>
              </w:tabs>
              <w:rPr>
                <w:sz w:val="24"/>
                <w:rFonts w:ascii="Times New Roman" w:hAnsi="Times New Roman"/>
              </w:rPr>
            </w:pPr>
          </w:p>
          <w:p>
            <w:pPr>
              <w:jc w:val="both"/>
              <w:ind w:left="-533"/>
              <w:spacing w:line="256" w:lineRule="auto"/>
              <w:tabs>
                <w:tab w:val="left" w:pos="10065"/>
              </w:tabs>
              <w:rPr>
                <w:sz w:val="24"/>
                <w:rFonts w:ascii="Times New Roman" w:hAnsi="Times New Roman"/>
              </w:rPr>
            </w:pPr>
            <w:r>
              <w:rPr>
                <w:sz w:val="24"/>
                <w:rFonts w:ascii="Times New Roman" w:hAnsi="Times New Roman"/>
              </w:rPr>
              <w:t>__________________________________</w:t>
            </w:r>
          </w:p>
          <w:p>
            <w:pPr>
              <w:jc w:val="both"/>
              <w:ind w:left="-533"/>
              <w:spacing w:line="256" w:lineRule="auto"/>
              <w:tabs>
                <w:tab w:val="left" w:pos="10065"/>
              </w:tabs>
              <w:rPr>
                <w:sz w:val="24"/>
                <w:rFonts w:ascii="Times New Roman" w:hAnsi="Times New Roman"/>
              </w:rPr>
            </w:pPr>
          </w:p>
          <w:p>
            <w:pPr>
              <w:jc w:val="both"/>
              <w:ind w:left="-533"/>
              <w:spacing w:line="256" w:lineRule="auto"/>
              <w:tabs>
                <w:tab w:val="left" w:pos="10065"/>
              </w:tabs>
              <w:rPr>
                <w:sz w:val="24"/>
                <w:rFonts w:ascii="Times New Roman" w:hAnsi="Times New Roman"/>
              </w:rPr>
            </w:pPr>
          </w:p>
        </w:tc>
      </w:tr>
    </w:tbl>
    <w:p>
      <w:pPr>
        <w:jc w:val="center"/>
        <w:spacing w:after="0"/>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B1B"/>
    <w:rsid w:val="00055B03"/>
    <w:rsid w:val="001C2618"/>
    <w:rsid w:val="00326633"/>
    <w:rsid w:val="0038483B"/>
    <w:rsid w:val="003F425C"/>
    <w:rsid w:val="00444AB6"/>
    <w:rsid w:val="005B0B1B"/>
    <w:rsid w:val="0068406D"/>
    <w:rsid w:val="00750776"/>
    <w:rsid w:val="008549B4"/>
    <w:rsid w:val="00C729A4"/>
    <w:rsid w:val="00C813B9"/>
    <w:rsid w:val="00D00AA2"/>
    <w:rsid w:val="00E42876"/>
    <w:rsid w:val="00ED7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436A8-F93C-46EB-83E3-74A2847F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4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1231</Words>
  <Characters>7023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2024-02-21T05:45:00Z</dcterms:created>
  <dcterms:modified xsi:type="dcterms:W3CDTF">2024-02-21T05:45:00Z</dcterms:modified>
</cp:coreProperties>
</file>

<file path=legal/structure.xml><?xml version="1.0" encoding="utf-8"?>
<w:structure xmlns:w="http://schemas.openxmlformats.org/wordprocessingml/2006/main">
  <w:element w:id="3" w:kind="category" w:selector="check" w:type="string" w:valueMode="normal" w:required="false">
    <w:identifier xml:space="preserve">ID3</w:identifier>
    <w:name xml:space="preserve">Shartnoma rekvizitlari</w:name>
    <w:value w:hidden="true">
      <w:unit w:active="false"/>
    </w:value>
  </w:element>
  <w:element w:id="4" w:kind="variable" w:selector="check" w:type="string" w:valueMode="normal" w:required="false" w:groupID="3">
    <w:identifier xml:space="preserve">ID4</w:identifier>
    <w:name xml:space="preserve">Shartnoma tuzilgan sana</w:name>
    <w:comment xml:space="preserve">(raqam bilan yoziladi)</w:comment>
    <w:value w:hidden="false">
      <w:unit w:active="false"/>
    </w:value>
  </w:element>
  <w:element w:id="5" w:kind="variable" w:selector="check" w:type="string" w:valueMode="normal" w:required="false" w:groupID="3">
    <w:identifier xml:space="preserve">ID5</w:identifier>
    <w:name xml:space="preserve">Shartnoma tuzilgan hudud</w:name>
    <w:comment xml:space="preserve">(viloyat, tuman (shahar))</w:comment>
    <w:value w:hidden="false">
      <w:unit w:active="false"/>
    </w:value>
  </w:element>
  <w:element w:id="6" w:kind="category" w:selector="check" w:type="string" w:valueMode="normal" w:required="false">
    <w:identifier xml:space="preserve">ID6</w:identifier>
    <w:name xml:space="preserve">Tomonlar to‘g‘risida maʼlumotlar</w:name>
    <w:value w:hidden="true">
      <w:unit w:active="false"/>
    </w:value>
  </w:element>
  <w:element w:id="7" w:kind="variable" w:selector="check" w:type="string" w:valueMode="normal" w:required="false" w:groupID="6">
    <w:identifier xml:space="preserve">ID7</w:identifier>
    <w:name xml:space="preserve">Sotuvchining nomi (tashkilot, korxona, yoki tadbirkorning F.I.O.)</w:name>
    <w:value w:hidden="false">
      <w:unit w:active="false"/>
    </w:value>
  </w:element>
  <w:element w:id="8" w:kind="variable" w:selector="check" w:type="string" w:valueMode="normal" w:required="false" w:groupID="6">
    <w:identifier xml:space="preserve">ID8</w:identifier>
    <w:name xml:space="preserve">Korxonaning faoliyatini belgilovchi hujjat turi</w:name>
    <w:comment xml:space="preserve">(nizom, ishonchnoma va boshqalar)</w:comment>
    <w:value w:hidden="false">
      <w:unit w:active="false"/>
    </w:value>
  </w:element>
  <w:element w:id="9" w:kind="variable" w:selector="check" w:type="string" w:valueMode="normal" w:required="false" w:groupID="6">
    <w:identifier xml:space="preserve">ID9</w:identifier>
    <w:name xml:space="preserve">Sotuvchi nomidan harakatlanuvchining F.I.O.</w:name>
    <w:value w:hidden="false">
      <w:unit w:active="false"/>
    </w:value>
  </w:element>
  <w:element w:id="10" w:kind="variable" w:selector="check" w:type="string" w:valueMode="normal" w:required="false" w:groupID="6">
    <w:identifier xml:space="preserve">ID10</w:identifier>
    <w:name xml:space="preserve">Sotib oluvchi korxonaning nomi (tashkilot, korxona yoki tadbirkorning F.I.O.)</w:name>
    <w:value w:hidden="false">
      <w:unit w:active="false"/>
    </w:value>
  </w:element>
  <w:element w:id="11" w:kind="variable" w:selector="check" w:type="string" w:valueMode="normal" w:required="false" w:groupID="6">
    <w:identifier xml:space="preserve">ID11</w:identifier>
    <w:name xml:space="preserve">Koxonaning faoliyatini belgilovchi hujjat turi</w:name>
    <w:comment xml:space="preserve">(nizom, ishonchnoma va boshqalar)</w:comment>
    <w:value w:hidden="false">
      <w:unit w:active="false"/>
    </w:value>
  </w:element>
  <w:element w:id="12" w:kind="variable" w:selector="check" w:type="string" w:valueMode="normal" w:required="false" w:groupID="6">
    <w:identifier xml:space="preserve">ID12</w:identifier>
    <w:name xml:space="preserve">Sotib oluvchining nomidan harakatlanuvchining F.I.O.</w:name>
    <w:value w:hidden="false">
      <w:unit w:active="false"/>
    </w:value>
  </w:element>
  <w:element w:id="15" w:kind="category" w:selector="check" w:type="string" w:valueMode="normal" w:required="false">
    <w:identifier xml:space="preserve">ID15</w:identifier>
    <w:name xml:space="preserve">Shartnoma predmeti</w:name>
    <w:value w:hidden="true">
      <w:unit w:active="false"/>
    </w:value>
  </w:element>
  <w:element w:id="16" w:kind="variable" w:selector="check" w:type="string" w:valueMode="normal" w:required="false" w:groupID="15">
    <w:identifier xml:space="preserve">ID16</w:identifier>
    <w:name xml:space="preserve">Korxonaning to‘liq nomi</w:name>
    <w:value w:hidden="false">
      <w:unit w:active="false"/>
    </w:value>
  </w:element>
  <w:element w:id="17" w:kind="variable" w:selector="check" w:type="string" w:valueMode="normal" w:required="false" w:groupID="15">
    <w:identifier xml:space="preserve">ID17</w:identifier>
    <w:name xml:space="preserve">Sotilayotgan korxonaning mol-mulk ro‘yxati</w:name>
    <w:comment xml:space="preserve">(bino, transport vositalari, jihozlar va boshqalar)</w:comment>
    <w:value w:hidden="false">
      <w:unit w:active="false"/>
    </w:value>
  </w:element>
  <w:element w:id="18" w:kind="variable" w:selector="check" w:type="string" w:valueMode="normal" w:required="false" w:groupID="15">
    <w:identifier xml:space="preserve">ID18</w:identifier>
    <w:name xml:space="preserve">Korxonaning baholangan qiymati</w:name>
    <w:comment xml:space="preserve">(raqam hamda qavs ichida so‘z bilan yoziladi)</w:comment>
    <w:value w:hidden="false">
      <w:unit w:active="false"/>
    </w:value>
  </w:element>
  <w:element w:id="19" w:kind="category" w:selector="check" w:type="string" w:valueMode="normal" w:required="false">
    <w:identifier xml:space="preserve">ID19</w:identifier>
    <w:name xml:space="preserve">Sotuvchining rekvizitlari</w:name>
    <w:value w:hidden="true">
      <w:unit w:active="false"/>
    </w:value>
  </w:element>
  <w:element w:id="20" w:kind="variable" w:selector="check" w:type="string" w:valueMode="normal" w:required="false" w:groupID="19">
    <w:identifier xml:space="preserve">ID20</w:identifier>
    <w:name xml:space="preserve">Sotuvchining hisob raqami</w:name>
    <w:comment xml:space="preserve">(raqam bilan yoziladi)</w:comment>
    <w:value w:hidden="false">
      <w:unit w:active="false"/>
    </w:value>
  </w:element>
  <w:element w:id="21" w:kind="variable" w:selector="check" w:type="string" w:valueMode="normal" w:required="false" w:groupID="19">
    <w:identifier xml:space="preserve">ID21</w:identifier>
    <w:name xml:space="preserve">Sotuvchining valyuta hisob raqami</w:name>
    <w:comment xml:space="preserve">(raqam bilan yoziladi)</w:comment>
    <w:value w:hidden="false">
      <w:unit w:active="false"/>
    </w:value>
  </w:element>
  <w:element w:id="22" w:kind="variable" w:selector="check" w:type="string" w:valueMode="normal" w:required="false" w:groupID="19">
    <w:identifier xml:space="preserve">ID22</w:identifier>
    <w:name xml:space="preserve">Bank nomi</w:name>
    <w:value w:hidden="false">
      <w:unit w:active="false"/>
    </w:value>
  </w:element>
  <w:element w:id="23" w:kind="variable" w:selector="check" w:type="string" w:valueMode="normal" w:required="false" w:groupID="19">
    <w:identifier xml:space="preserve">ID23</w:identifier>
    <w:name xml:space="preserve">Bank raqami (kodi) MFO</w:name>
    <w:comment xml:space="preserve">(raqam bilan yoziladi)</w:comment>
    <w:value w:hidden="false">
      <w:unit w:active="false"/>
    </w:value>
  </w:element>
  <w:element w:id="24" w:kind="variable" w:selector="check" w:type="string" w:valueMode="normal" w:required="false" w:groupID="19">
    <w:identifier xml:space="preserve">ID24</w:identifier>
    <w:name xml:space="preserve">Sotuvchining STIR raqami</w:name>
    <w:value w:hidden="false">
      <w:unit w:active="false"/>
    </w:value>
  </w:element>
  <w:element w:id="25" w:kind="variable" w:selector="check" w:type="string" w:valueMode="normal" w:required="false" w:groupID="19">
    <w:identifier xml:space="preserve">ID25</w:identifier>
    <w:name xml:space="preserve">Sotuvchining telefon raqamlari</w:name>
    <w:comment xml:space="preserve">(raqam bilan yoziladi)</w:comment>
    <w:value w:hidden="false">
      <w:unit w:active="false"/>
    </w:value>
  </w:element>
  <w:element w:id="26" w:kind="category" w:selector="check" w:type="string" w:valueMode="normal" w:required="false">
    <w:identifier xml:space="preserve">ID26</w:identifier>
    <w:name xml:space="preserve">Sotib oluvchining rekvizitlari</w:name>
    <w:value w:hidden="true">
      <w:unit w:active="false"/>
    </w:value>
  </w:element>
  <w:element w:id="27" w:kind="variable" w:selector="check" w:type="string" w:valueMode="normal" w:required="false" w:groupID="26">
    <w:identifier xml:space="preserve">ID27</w:identifier>
    <w:name xml:space="preserve">Sotib oluvchining hisob raqami</w:name>
    <w:comment xml:space="preserve">(raqam bilan yoziladi)</w:comment>
    <w:value w:hidden="false">
      <w:unit w:active="false"/>
    </w:value>
  </w:element>
  <w:element w:id="28" w:kind="variable" w:selector="check" w:type="string" w:valueMode="normal" w:required="false" w:groupID="26">
    <w:identifier xml:space="preserve">ID28</w:identifier>
    <w:name xml:space="preserve">Sotib oluvchining valyuta hisob raqami</w:name>
    <w:comment xml:space="preserve">(raqam bilan yoziladi)</w:comment>
    <w:value w:hidden="false">
      <w:unit w:active="false"/>
    </w:value>
  </w:element>
  <w:element w:id="29" w:kind="variable" w:selector="check" w:type="string" w:valueMode="normal" w:required="false" w:groupID="26">
    <w:identifier xml:space="preserve">ID29</w:identifier>
    <w:name xml:space="preserve">Bank nomi</w:name>
    <w:value w:hidden="false">
      <w:unit w:active="false"/>
    </w:value>
  </w:element>
  <w:element w:id="30" w:kind="variable" w:selector="check" w:type="string" w:valueMode="normal" w:required="false" w:groupID="26">
    <w:identifier xml:space="preserve">ID30</w:identifier>
    <w:name xml:space="preserve">Bank raqam (kodi) MFO</w:name>
    <w:comment xml:space="preserve">(raqam bilan yoziladi)</w:comment>
    <w:value w:hidden="false">
      <w:unit w:active="false"/>
    </w:value>
  </w:element>
  <w:element w:id="31" w:kind="variable" w:selector="check" w:type="string" w:valueMode="normal" w:required="false" w:groupID="26">
    <w:identifier xml:space="preserve">ID31</w:identifier>
    <w:name xml:space="preserve">Sotib oluvchining STIR raqami</w:name>
    <w:comment xml:space="preserve">(raqam bilan yoziladi)</w:comment>
    <w:value w:hidden="false">
      <w:unit w:active="false"/>
    </w:value>
  </w:element>
  <w:element w:id="32" w:kind="variable" w:selector="check" w:type="string" w:valueMode="normal" w:required="false" w:groupID="26">
    <w:identifier xml:space="preserve">ID32</w:identifier>
    <w:name xml:space="preserve">Sotib oluvchining telefon raqamlari</w:name>
    <w:value w:hidden="false">
      <w:unit w:active="false"/>
    </w:value>
  </w:element>
</w:structure>
</file>