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sz w:val="24"/>
          <w:rFonts w:ascii="Times New Roman" w:hAnsi="Times New Roman"/>
        </w:rPr>
      </w:pPr>
      <w:r>
        <w:rPr>
          <w:b/>
          <w:sz w:val="28"/>
          <w:rFonts w:ascii="Times New Roman" w:hAnsi="Times New Roman"/>
        </w:rPr>
        <w:t xml:space="preserve">KURYERLIK XIZMATINI KOʻRSATISH TOʻGʻRISIDA</w:t>
      </w:r>
    </w:p>
    <w:p>
      <w:pPr>
        <w:jc w:val="center"/>
        <w:spacing w:after="0" w:line="276" w:lineRule="auto"/>
        <w:rPr>
          <w:b/>
          <w:sz w:val="24"/>
          <w:rFonts w:ascii="Times New Roman" w:hAnsi="Times New Roman"/>
        </w:rPr>
      </w:pPr>
      <w:r>
        <w:rPr>
          <w:b/>
          <w:sz w:val="28"/>
          <w:rFonts w:ascii="Times New Roman" w:hAnsi="Times New Roman"/>
        </w:rPr>
        <w:t>SHARTNOMA</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spacing w:line="276" w:lineRule="auto"/>
              <w:rPr>
                <w:sz w:val="24"/>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tcPr>
          <w:p>
            <w:pPr>
              <w:jc w:val="center"/>
              <w:spacing w:line="276" w:lineRule="auto"/>
              <w:rPr>
                <w:sz w:val="24"/>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r>
              <w:rPr>
                <w:sz w:val="28"/>
                <w:rFonts w:ascii="Times New Roman" w:hAnsi="Times New Roman"/>
              </w:rPr>
              <w:t>-son</w:t>
            </w:r>
          </w:p>
        </w:tc>
        <w:tc>
          <w:tcPr>
            <w:tcW w:w="3115" w:type="dxa"/>
          </w:tcPr>
          <w:p>
            <w:pPr>
              <w:jc w:val="right"/>
              <w:spacing w:line="276" w:lineRule="auto"/>
              <w:rPr>
                <w:sz w:val="24"/>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Shartnoma ikki taraflama boʻlib birinchi tomondan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Buyurtmachi tashkilot nomi, tashkiliy huquqiy shakli</w:t>
        <w:fldChar w:fldCharType="end"/>
      </w:r>
      <w:r>
        <w:rPr>
          <w:sz w:val="28"/>
          <w:rFonts w:ascii="Times New Roman" w:hAnsi="Times New Roman"/>
        </w:rPr>
        <w:t xml:space="preserve">ning rahbar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Buyurtmachi tashkilot rahbari lavozimi va F.I.O.si</w:t>
        <w:fldChar w:fldCharType="end"/>
      </w:r>
      <w:r>
        <w:rPr>
          <w:sz w:val="28"/>
          <w:rFonts w:ascii="Times New Roman" w:hAnsi="Times New Roman"/>
        </w:rPr>
        <w:t xml:space="preserve"> kelgusida “Buyurtmachi” deb yuritiluvchi, ikkinchi tomonidan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Kuryerlik xizmatini amalga oshiruvchi tashkilot nomi tashkiliy huquqiy shakli</w:t>
        <w:fldChar w:fldCharType="end"/>
      </w:r>
      <w:r>
        <w:rPr>
          <w:sz w:val="28"/>
          <w:rFonts w:ascii="Times New Roman" w:hAnsi="Times New Roman"/>
        </w:rPr>
        <w:t xml:space="preserve"> rahbari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Kuryerlik xizmati tashkilotining rahbari lavozimi va F.I.O.si</w:t>
        <w:fldChar w:fldCharType="end"/>
      </w:r>
      <w:r>
        <w:rPr>
          <w:sz w:val="28"/>
          <w:rFonts w:ascii="Times New Roman" w:hAnsi="Times New Roman"/>
        </w:rPr>
        <w:t xml:space="preserve"> kelgusida “Kuryerlik xizmati” deb yuritiladi va quyidagilar haqida ushbu shartnoma tuzildi.</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1. SHARTNOMA MAZMUNI</w:t>
      </w:r>
    </w:p>
    <w:p>
      <w:pPr>
        <w:jc w:val="both"/>
        <w:ind w:firstLine="426"/>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1.1. “Buyurtmachi” xat xabarlarni “Kuryerlik xizmat”ga topshiradi, “Kuryerlik xizmati” oʻziga “Buyurtmachi” tomonidan topshirgan xat xabarlarni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Kuryerlik xizmat amalga oshiriluvchi hudud</w:t>
        <w:fldChar w:fldCharType="end"/>
      </w:r>
      <w:r>
        <w:rPr>
          <w:sz w:val="28"/>
          <w:rFonts w:ascii="Times New Roman" w:hAnsi="Times New Roman"/>
        </w:rPr>
        <w:t xml:space="preserve"> hududiga quyidagi shartlarga asosan yetkazib berish majburiyatlarini oladi.</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2. TOMONLARNING MAJBURIYATLARI</w:t>
      </w:r>
    </w:p>
    <w:p>
      <w:pPr>
        <w:jc w:val="both"/>
        <w:ind w:firstLine="426"/>
        <w:spacing w:after="0" w:line="276" w:lineRule="auto"/>
        <w:rPr>
          <w:sz w:val="24"/>
          <w:rFonts w:ascii="Times New Roman" w:hAnsi="Times New Roman"/>
        </w:rPr>
      </w:pPr>
    </w:p>
    <w:p>
      <w:pPr>
        <w:jc w:val="both"/>
        <w:ind w:firstLine="426"/>
        <w:spacing w:after="0" w:line="276" w:lineRule="auto"/>
        <w:rPr>
          <w:b/>
          <w:sz w:val="24"/>
          <w:rFonts w:ascii="Times New Roman" w:hAnsi="Times New Roman"/>
        </w:rPr>
      </w:pPr>
      <w:r>
        <w:rPr>
          <w:b/>
          <w:sz w:val="28"/>
          <w:rFonts w:ascii="Times New Roman" w:hAnsi="Times New Roman"/>
        </w:rPr>
        <w:t xml:space="preserve">2.1. “Buyurtmachi”ning majburiyatlari:</w:t>
      </w:r>
    </w:p>
    <w:p>
      <w:pPr>
        <w:jc w:val="both"/>
        <w:ind w:firstLine="426"/>
        <w:spacing w:after="0" w:line="276" w:lineRule="auto"/>
        <w:rPr>
          <w:sz w:val="24"/>
          <w:rFonts w:ascii="Times New Roman" w:hAnsi="Times New Roman"/>
        </w:rPr>
      </w:pPr>
      <w:r>
        <w:rPr>
          <w:sz w:val="28"/>
          <w:rFonts w:ascii="Times New Roman" w:hAnsi="Times New Roman"/>
        </w:rPr>
        <w:t xml:space="preserve">2.1.1. Xar kuni shanba va yakshanbadan tashqari soat 09-00 dan 17-00 gacha xat xabar olish uchun kelgan kuryerga xat xabarlarni topshiradi.</w:t>
      </w:r>
    </w:p>
    <w:p>
      <w:pPr>
        <w:jc w:val="both"/>
        <w:ind w:firstLine="426"/>
        <w:spacing w:after="0" w:line="276" w:lineRule="auto"/>
        <w:rPr>
          <w:sz w:val="24"/>
          <w:rFonts w:ascii="Times New Roman" w:hAnsi="Times New Roman"/>
        </w:rPr>
      </w:pPr>
      <w:r>
        <w:rPr>
          <w:sz w:val="28"/>
          <w:rFonts w:ascii="Times New Roman" w:hAnsi="Times New Roman"/>
        </w:rPr>
        <w:t xml:space="preserve">2.1.2. Belgilangan hudud boʻyicha shahar, tumanlarga yetkazib berish uchun xat xabarlarni roʻyxatga asosan “Kuryerlik xizmati”ga taqdim etadi.</w:t>
      </w:r>
    </w:p>
    <w:p>
      <w:pPr>
        <w:jc w:val="both"/>
        <w:ind w:firstLine="426"/>
        <w:spacing w:after="0" w:line="276" w:lineRule="auto"/>
        <w:rPr>
          <w:sz w:val="24"/>
          <w:rFonts w:ascii="Times New Roman" w:hAnsi="Times New Roman"/>
        </w:rPr>
      </w:pPr>
      <w:r>
        <w:rPr>
          <w:sz w:val="28"/>
          <w:rFonts w:ascii="Times New Roman" w:hAnsi="Times New Roman"/>
        </w:rPr>
        <w:t xml:space="preserve">2.1.3. Xat xabarlar konvertlarida ikkita manzil koʻrsatilgan boʻlsa “Kuryerlik xizmati” xatlarni ikkinchi manzilga yetkazib beradi.</w:t>
      </w:r>
    </w:p>
    <w:p>
      <w:pPr>
        <w:jc w:val="both"/>
        <w:ind w:firstLine="426"/>
        <w:spacing w:after="0" w:line="276" w:lineRule="auto"/>
        <w:rPr>
          <w:sz w:val="24"/>
          <w:rFonts w:ascii="Times New Roman" w:hAnsi="Times New Roman"/>
        </w:rPr>
      </w:pPr>
      <w:r>
        <w:rPr>
          <w:sz w:val="28"/>
          <w:rFonts w:ascii="Times New Roman" w:hAnsi="Times New Roman"/>
        </w:rPr>
        <w:t xml:space="preserve">2.1.4. Xar oyning 25-sanasigacha bajarilgan ishlar yuzasidan “Kuryerlik xizmati” tuzgan dalolatnomalarni imzolaydi va hisob kitob qiladi.</w:t>
      </w:r>
    </w:p>
    <w:p>
      <w:pPr>
        <w:jc w:val="both"/>
        <w:ind w:firstLine="426"/>
        <w:spacing w:after="0" w:line="276" w:lineRule="auto"/>
        <w:rPr>
          <w:sz w:val="24"/>
          <w:rFonts w:ascii="Times New Roman" w:hAnsi="Times New Roman"/>
        </w:rPr>
      </w:pPr>
      <w:r>
        <w:rPr>
          <w:sz w:val="28"/>
          <w:rFonts w:ascii="Times New Roman" w:hAnsi="Times New Roman"/>
        </w:rPr>
        <w:t xml:space="preserve">2.1.5. Xatlarda joʻnatuvchi va oluvchilarning manzillari toʻliq va aniq koʻrsatilishi shart.</w:t>
      </w:r>
    </w:p>
    <w:p>
      <w:pPr>
        <w:jc w:val="both"/>
        <w:ind w:firstLine="426"/>
        <w:spacing w:after="0" w:line="276" w:lineRule="auto"/>
        <w:rPr>
          <w:sz w:val="24"/>
          <w:rFonts w:ascii="Times New Roman" w:hAnsi="Times New Roman"/>
        </w:rPr>
      </w:pPr>
      <w:r>
        <w:rPr>
          <w:sz w:val="28"/>
          <w:rFonts w:ascii="Times New Roman" w:hAnsi="Times New Roman"/>
        </w:rPr>
        <w:t xml:space="preserve">2.2. “Kuryerlik xizmati”ning majburiyatlari:</w:t>
      </w:r>
    </w:p>
    <w:p>
      <w:pPr>
        <w:jc w:val="both"/>
        <w:ind w:firstLine="426"/>
        <w:spacing w:after="0" w:line="276" w:lineRule="auto"/>
        <w:rPr>
          <w:sz w:val="24"/>
          <w:rFonts w:ascii="Times New Roman" w:hAnsi="Times New Roman"/>
        </w:rPr>
      </w:pPr>
      <w:r>
        <w:rPr>
          <w:sz w:val="28"/>
          <w:rFonts w:ascii="Times New Roman" w:hAnsi="Times New Roman"/>
        </w:rPr>
        <w:t xml:space="preserve">2.2.1. Buyurtmachi joylashgan manzilga kelib “Buyurtmachi”dan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Kuryerlik xizmat amalga oshiriluvchi hudud</w:t>
        <w:fldChar w:fldCharType="end"/>
      </w:r>
      <w:r>
        <w:rPr>
          <w:sz w:val="28"/>
          <w:rFonts w:ascii="Times New Roman" w:hAnsi="Times New Roman"/>
        </w:rPr>
        <w:t xml:space="preserve">ga yetkazib berish uchun xat xabarlarni qabul qiladi.</w:t>
      </w:r>
    </w:p>
    <w:p>
      <w:pPr>
        <w:jc w:val="both"/>
        <w:ind w:firstLine="426"/>
        <w:spacing w:after="0" w:line="276" w:lineRule="auto"/>
        <w:rPr>
          <w:sz w:val="24"/>
          <w:rFonts w:ascii="Times New Roman" w:hAnsi="Times New Roman"/>
        </w:rPr>
      </w:pPr>
      <w:r>
        <w:rPr>
          <w:sz w:val="28"/>
          <w:rFonts w:ascii="Times New Roman" w:hAnsi="Times New Roman"/>
        </w:rPr>
        <w:t xml:space="preserve">2.2.2. Xatlarda manzillar noaniq koʻrsatilgan boʻlsa “Buyurtmachi”ga qaytariladi.</w:t>
      </w:r>
    </w:p>
    <w:p>
      <w:pPr>
        <w:jc w:val="both"/>
        <w:ind w:firstLine="426"/>
        <w:spacing w:after="0" w:line="276" w:lineRule="auto"/>
        <w:rPr>
          <w:sz w:val="24"/>
          <w:rFonts w:ascii="Times New Roman" w:hAnsi="Times New Roman"/>
        </w:rPr>
      </w:pPr>
      <w:r>
        <w:rPr>
          <w:sz w:val="28"/>
          <w:rFonts w:ascii="Times New Roman" w:hAnsi="Times New Roman"/>
        </w:rPr>
        <w:t xml:space="preserve">2.2.3. “Buyurtmachi”dan olgan xatlarni shakl.119 yoki shakl.22 xabarnomalar orqali shahar va tumanlarga yuboriladi.</w:t>
      </w:r>
    </w:p>
    <w:p>
      <w:pPr>
        <w:jc w:val="both"/>
        <w:ind w:firstLine="426"/>
        <w:spacing w:after="0" w:line="276" w:lineRule="auto"/>
        <w:rPr>
          <w:sz w:val="24"/>
          <w:rFonts w:ascii="Times New Roman" w:hAnsi="Times New Roman"/>
        </w:rPr>
      </w:pPr>
      <w:r>
        <w:rPr>
          <w:sz w:val="28"/>
          <w:rFonts w:ascii="Times New Roman" w:hAnsi="Times New Roman"/>
        </w:rPr>
        <w:t xml:space="preserve">2.2.4. “Buyurtmachi”dan qabul qilib olingan xatlarni belgilangan hududda 3 (uch) ish kunida, qolgan shahar va tumanlarga 5 (besh) ish kunida oluvchilar manzillariga yetkazib beradi.</w:t>
      </w:r>
    </w:p>
    <w:p>
      <w:pPr>
        <w:jc w:val="both"/>
        <w:ind w:firstLine="426"/>
        <w:spacing w:after="0" w:line="276" w:lineRule="auto"/>
        <w:rPr>
          <w:sz w:val="24"/>
          <w:rFonts w:ascii="Times New Roman" w:hAnsi="Times New Roman"/>
        </w:rPr>
      </w:pPr>
      <w:r>
        <w:rPr>
          <w:sz w:val="28"/>
          <w:rFonts w:ascii="Times New Roman" w:hAnsi="Times New Roman"/>
        </w:rPr>
        <w:t xml:space="preserve">2.2.5. “Buyurtmachi”ga 10 (oʻn) ish kuni ichida yetkazib berilgan xatlarni shakl.119 topshirganlik haqidagi xabarnomani qaytaradi.</w:t>
      </w:r>
    </w:p>
    <w:p>
      <w:pPr>
        <w:jc w:val="both"/>
        <w:ind w:firstLine="426"/>
        <w:spacing w:after="0" w:line="276" w:lineRule="auto"/>
        <w:rPr>
          <w:sz w:val="24"/>
          <w:rFonts w:ascii="Times New Roman" w:hAnsi="Times New Roman"/>
        </w:rPr>
      </w:pPr>
      <w:r>
        <w:rPr>
          <w:sz w:val="28"/>
          <w:rFonts w:ascii="Times New Roman" w:hAnsi="Times New Roman"/>
        </w:rPr>
        <w:t xml:space="preserve">2.2.6. Xar oyning 25-sanasigacha “Buyurtmachi” “Kuryerlik xizmatiga” topshirgan roʻyxat asosidagi xatlarga “Kuryerlik xizmati” bajargan ishlari boʻyicha dalolatnoma tuzib “Buyurtmachi”ga taqdim etadi.</w:t>
      </w:r>
    </w:p>
    <w:p>
      <w:pPr>
        <w:jc w:val="both"/>
        <w:ind w:firstLine="426"/>
        <w:spacing w:after="0" w:line="276" w:lineRule="auto"/>
        <w:rPr>
          <w:sz w:val="24"/>
          <w:rFonts w:ascii="Times New Roman" w:hAnsi="Times New Roman"/>
        </w:rPr>
      </w:pPr>
      <w:r>
        <w:rPr>
          <w:sz w:val="28"/>
          <w:rFonts w:ascii="Times New Roman" w:hAnsi="Times New Roman"/>
        </w:rPr>
        <w:t xml:space="preserve">2.2.7. Biror holatga koʻra “Buyurtmachi” xatlari oluvchiga yetkazib berilmasa bu toʻgʻrisida tasdiqlovchi hujjat taqdim etadi (shakl-20 maʼlumotnomasi).</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3. XIZMATGA HAQ TOʻLASH TARTIBI</w:t>
      </w:r>
    </w:p>
    <w:p>
      <w:pPr>
        <w:jc w:val="both"/>
        <w:ind w:firstLine="426"/>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3.1. Xar bir yetkazib berilgan xat uchun “Buyurtmachi”, “Kuryerlik xizmati”ga ilovada tasdiqlangan mahalliy taʼrif asosida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Buyurtmachi tomonidan kuryerlik xizmatiga yetkazib berilgan har bir xat uchun amalga oshiriladigan to‘lov narxi</w:t>
        <w:fldChar w:fldCharType="end"/>
      </w:r>
      <w:r>
        <w:rPr>
          <w:sz w:val="28"/>
          <w:rFonts w:ascii="Times New Roman" w:hAnsi="Times New Roman"/>
        </w:rPr>
        <w:t xml:space="preserve"> soʻmdan xizmat haqi toʻlaydi.</w:t>
      </w:r>
    </w:p>
    <w:p>
      <w:pPr>
        <w:jc w:val="both"/>
        <w:ind w:firstLine="426"/>
        <w:spacing w:after="0" w:line="276" w:lineRule="auto"/>
        <w:rPr>
          <w:sz w:val="24"/>
          <w:rFonts w:ascii="Times New Roman" w:hAnsi="Times New Roman"/>
        </w:rPr>
      </w:pPr>
      <w:r>
        <w:rPr>
          <w:sz w:val="28"/>
          <w:rFonts w:ascii="Times New Roman" w:hAnsi="Times New Roman"/>
        </w:rPr>
        <w:t xml:space="preserve">3.2. “Buyurtmachi” oʻz tashabbusiga koʻra “Kuryerlik xizmati” ga kelgusida koʻrsatilgan xizmatlari uchun oldindan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Buyurtmachi tomonidan kuryerlik xizmatiga to‘lanadigan oldindan to‘lov narxi</w:t>
        <w:fldChar w:fldCharType="end"/>
      </w:r>
      <w:r>
        <w:rPr>
          <w:sz w:val="28"/>
          <w:rFonts w:ascii="Times New Roman" w:hAnsi="Times New Roman"/>
        </w:rPr>
        <w:t xml:space="preserve"> % miqdorda mablagʻ oʻtkazib beradi.</w:t>
      </w:r>
    </w:p>
    <w:p>
      <w:pPr>
        <w:jc w:val="both"/>
        <w:ind w:firstLine="426"/>
        <w:spacing w:after="0" w:line="276" w:lineRule="auto"/>
        <w:rPr>
          <w:sz w:val="24"/>
          <w:rFonts w:ascii="Times New Roman" w:hAnsi="Times New Roman"/>
        </w:rPr>
      </w:pPr>
      <w:r>
        <w:rPr>
          <w:sz w:val="28"/>
          <w:rFonts w:ascii="Times New Roman" w:hAnsi="Times New Roman"/>
        </w:rPr>
        <w:t xml:space="preserve">3.3. “Kuryerlik xizmati” oldindan toʻlangan mablagʻ hisobiga shartnoma shartlari boʻyicha oʻz majburiyatlarini bajaradi.</w:t>
      </w:r>
    </w:p>
    <w:p>
      <w:pPr>
        <w:jc w:val="both"/>
        <w:ind w:firstLine="426"/>
        <w:spacing w:after="0" w:line="276" w:lineRule="auto"/>
        <w:rPr>
          <w:sz w:val="24"/>
          <w:rFonts w:ascii="Times New Roman" w:hAnsi="Times New Roman"/>
        </w:rPr>
      </w:pPr>
      <w:r>
        <w:rPr>
          <w:sz w:val="28"/>
          <w:rFonts w:ascii="Times New Roman" w:hAnsi="Times New Roman"/>
        </w:rPr>
        <w:t xml:space="preserve">3.4. Agar topshirilgan xatlarda “Buyurtmachi”ning aybi bilan manzil noaniq koʻrsatilgan boʻlsa, “Buyurtmachi” Kuryerlik xizmatiga 100% xizmat haqini toʻlaydi.</w:t>
      </w:r>
    </w:p>
    <w:p>
      <w:pPr>
        <w:jc w:val="both"/>
        <w:ind w:firstLine="426"/>
        <w:spacing w:after="0" w:line="276" w:lineRule="auto"/>
        <w:rPr>
          <w:sz w:val="24"/>
          <w:rFonts w:ascii="Times New Roman" w:hAnsi="Times New Roman"/>
        </w:rPr>
      </w:pPr>
      <w:r>
        <w:rPr>
          <w:sz w:val="28"/>
          <w:rFonts w:ascii="Times New Roman" w:hAnsi="Times New Roman"/>
        </w:rPr>
        <w:t xml:space="preserve">3.5. Xizmat haqi narxnomasiga oʻzgartirish kiritilganda “Kuryerlik xizmati” bu haqida “Buyurtmachi”ga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Xizmat haqi narxnomasiga o‘zgartirish kiritilishi to‘g‘risida kuryerlik xizmati buyurtmachiga necha kun oldin xabar berishi lozim</w:t>
        <w:fldChar w:fldCharType="end"/>
      </w:r>
      <w:r>
        <w:rPr>
          <w:sz w:val="28"/>
          <w:rFonts w:ascii="Times New Roman" w:hAnsi="Times New Roman"/>
        </w:rPr>
        <w:t xml:space="preserve"> kun oldin xabar beradi.</w:t>
      </w:r>
    </w:p>
    <w:p>
      <w:pPr>
        <w:jc w:val="both"/>
        <w:ind w:firstLine="426"/>
        <w:spacing w:after="0" w:line="276" w:lineRule="auto"/>
        <w:rPr>
          <w:sz w:val="24"/>
          <w:rFonts w:ascii="Times New Roman" w:hAnsi="Times New Roman"/>
        </w:rPr>
      </w:pPr>
      <w:r>
        <w:rPr>
          <w:sz w:val="28"/>
          <w:rFonts w:ascii="Times New Roman" w:hAnsi="Times New Roman"/>
        </w:rPr>
        <w:t xml:space="preserve">3.6. Shartnomaning umumiy summasi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Shartnomaning umumiy summasi</w:t>
        <w:fldChar w:fldCharType="end"/>
      </w:r>
      <w:r>
        <w:rPr>
          <w:sz w:val="28"/>
          <w:rFonts w:ascii="Times New Roman" w:hAnsi="Times New Roman"/>
        </w:rPr>
        <w:t xml:space="preserve"> soʻmni tashkil qiladi.</w:t>
      </w:r>
    </w:p>
    <w:p>
      <w:pPr>
        <w:jc w:val="both"/>
        <w:ind w:firstLine="426"/>
        <w:spacing w:after="0" w:line="276" w:lineRule="auto"/>
        <w:rPr>
          <w:sz w:val="24"/>
          <w:rFonts w:ascii="Times New Roman" w:hAnsi="Times New Roman"/>
        </w:rPr>
      </w:pPr>
      <w:r>
        <w:rPr>
          <w:sz w:val="28"/>
          <w:rFonts w:ascii="Times New Roman" w:hAnsi="Times New Roman"/>
        </w:rPr>
        <w:t xml:space="preserve">3.7. “Kuryerlik xizmati” “Buyurtmachi”ga oʻn ish kuni ichida yetkazib berilgan xatlarning xabarnomalarini qaytarmasa yoki ushbu xabarnomalar toʻliq toʻldirilmagan xolda (yaʼni xabarnomaning orqa tarafida xat xabarni olgan shaxsning ismi, familiyasi va sharifi koʻrsatilmasa) qaytarilsa bu haqda tomonlar oʻrtasida dalolatnoma tuziladi va mazkur xabarnomalar boʻyicha xizmat haqqidan 0,5% miqdorida jarima toʻlaydi, lekin umumiy toʻlov summasining 50% oshmasligi kerak.</w:t>
      </w:r>
    </w:p>
    <w:p>
      <w:pPr>
        <w:jc w:val="both"/>
        <w:ind w:firstLine="426"/>
        <w:spacing w:after="0" w:line="276" w:lineRule="auto"/>
        <w:rPr>
          <w:sz w:val="24"/>
          <w:rFonts w:ascii="Times New Roman" w:hAnsi="Times New Roman"/>
        </w:rPr>
      </w:pPr>
      <w:r>
        <w:rPr>
          <w:sz w:val="28"/>
          <w:rFonts w:ascii="Times New Roman" w:hAnsi="Times New Roman"/>
        </w:rPr>
        <w:t xml:space="preserve">3.8. “Kuryerlik xizmati” bajargan ishlariga xizmat haqi “Buyurtmachi” tomonidan oʻz vaqtida toʻlov amalga oshirilmasa xar bir kechiktirilgan kun uchun “Buyurtmachi” “Kuryerlik xizmati”ga toʻlanmagan summaning 0,4% miqdorida jarima toʻlaydi, lekin umumiy toʻlov summasining 50% dan ortiq boʻlmasligi kerak.</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4. TOMONLAR JAVOBGARLIGI</w:t>
      </w:r>
    </w:p>
    <w:p>
      <w:pPr>
        <w:jc w:val="both"/>
        <w:ind w:firstLine="426"/>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4.1. “Buyurtmachi” bajargan ishlar uchun “Kuryerlik xizmati”ga xizmat haqini oʻz vaqtida toʻlamagan taqdirda xar bir kechiktirilgan kun uchun 0,5 foizi miqdorida jarima toʻlaydi, lekin toʻlanadigan summa majburiyatning bajarilmagan qismining 50% oshmaslik kerak.</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5. NIZOLARNING HAL ETISH TARTIBI</w:t>
      </w:r>
    </w:p>
    <w:p>
      <w:pPr>
        <w:jc w:val="both"/>
        <w:ind w:firstLine="426"/>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5.1. Taraflar oʻrtasida kelib chiqadigan nizo, kelishmovchilik va boshqa masalalar tomonlarning oʻzaro kelishuviga asosan hal etiladi.</w:t>
      </w:r>
    </w:p>
    <w:p>
      <w:pPr>
        <w:jc w:val="both"/>
        <w:ind w:firstLine="426"/>
        <w:spacing w:after="0" w:line="276" w:lineRule="auto"/>
        <w:rPr>
          <w:sz w:val="24"/>
          <w:rFonts w:ascii="Times New Roman" w:hAnsi="Times New Roman"/>
        </w:rPr>
      </w:pPr>
      <w:r>
        <w:rPr>
          <w:sz w:val="28"/>
          <w:rFonts w:ascii="Times New Roman" w:hAnsi="Times New Roman"/>
        </w:rPr>
        <w:t xml:space="preserve">5.2. Tomonlar oʻzaro kelishuvga erishmagan hollarda nizolar Iqtisodiy sud orqali hal etiladi.</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6. FORS-MAJOR</w:t>
      </w:r>
    </w:p>
    <w:p>
      <w:pPr>
        <w:jc w:val="both"/>
        <w:ind w:firstLine="426"/>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6.1. Tomonlar ushbu shartnomada koʻrsatib oʻtilgan shartlarni nazorat qila olmagan taqdirda, majburiyatlarni qisman yoki umuman bajara olmaganda (harbiy harakatlar, yongʻin chiqishi, suv toshqini, yer qimirlashi va boshqa holatlarda) agar ushbu holatlar taʼsiri boʻlsa javobgarlikdan ozod qilinadi. Bunday holatlarda shartnomaning amal qilish muddati yuqorida koʻrsatib oʻtilgan holatlar tugagunga qadar uzaytiriladi va oʻz kuchida qoladi.</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7. QOʻSHIMCHA SHARTLAR</w:t>
      </w:r>
    </w:p>
    <w:p>
      <w:pPr>
        <w:jc w:val="both"/>
        <w:ind w:firstLine="426"/>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7.1. Birorta tomon oʻz huquq va majburiyatlarini boshqa tomonga yozma ravishda kelishilmagan xolda berishga haqi yoʻq.</w:t>
      </w:r>
    </w:p>
    <w:p>
      <w:pPr>
        <w:jc w:val="both"/>
        <w:ind w:firstLine="426"/>
        <w:spacing w:after="0" w:line="276" w:lineRule="auto"/>
        <w:rPr>
          <w:sz w:val="24"/>
          <w:rFonts w:ascii="Times New Roman" w:hAnsi="Times New Roman"/>
        </w:rPr>
      </w:pPr>
      <w:r>
        <w:rPr>
          <w:sz w:val="28"/>
          <w:rFonts w:ascii="Times New Roman" w:hAnsi="Times New Roman"/>
        </w:rPr>
        <w:t xml:space="preserve">7.2. Shartnomaga kiritiladigan xar qanday oʻzgartirish va qoʻshimchalar tomonlar yozma ravishda taqdim etganda va imzolanganida amalga oshiriladi.</w:t>
      </w:r>
    </w:p>
    <w:p>
      <w:pPr>
        <w:jc w:val="both"/>
        <w:ind w:firstLine="426"/>
        <w:spacing w:after="0" w:line="276" w:lineRule="auto"/>
        <w:rPr>
          <w:sz w:val="24"/>
          <w:rFonts w:ascii="Times New Roman" w:hAnsi="Times New Roman"/>
        </w:rPr>
      </w:pPr>
      <w:r>
        <w:rPr>
          <w:sz w:val="28"/>
          <w:rFonts w:ascii="Times New Roman" w:hAnsi="Times New Roman"/>
        </w:rPr>
        <w:t xml:space="preserve">7.3. Barcha maʼlumotlar, hujjatlar va yoʻriqnomalar davlat tilida olib boriladi.</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8. SHARTNOMANING AMAL QILISH MUDDATI</w:t>
      </w:r>
    </w:p>
    <w:p>
      <w:pPr>
        <w:jc w:val="both"/>
        <w:ind w:firstLine="426"/>
        <w:spacing w:after="0" w:line="276" w:lineRule="auto"/>
        <w:rPr>
          <w:sz w:val="24"/>
          <w:rFonts w:ascii="Times New Roman" w:hAnsi="Times New Roman"/>
        </w:rPr>
      </w:pPr>
    </w:p>
    <w:p>
      <w:pPr>
        <w:jc w:val="both"/>
        <w:ind w:firstLine="426"/>
        <w:spacing w:after="0" w:line="276" w:lineRule="auto"/>
        <w:rPr>
          <w:sz w:val="24"/>
          <w:rFonts w:ascii="Times New Roman" w:hAnsi="Times New Roman"/>
        </w:rPr>
      </w:pPr>
      <w:r>
        <w:rPr>
          <w:sz w:val="28"/>
          <w:rFonts w:ascii="Times New Roman" w:hAnsi="Times New Roman"/>
        </w:rPr>
        <w:t xml:space="preserve">8.1. Ushbu shartnoma imzolangan kundan boshlab kuchga kiradi va </w:t>
      </w:r>
      <w:r>
        <w:rPr>
          <w:vanish w:val="false"/>
          <w:sz w:val="28"/>
          <w:rFonts w:ascii="Times New Roman" w:hAnsi="Times New Roman"/>
        </w:rPr>
        <w:fldChar w:fldCharType="begin"/>
        <w:instrText xml:space="preserve">X {"Y":29}</w:instrText>
        <w:fldChar w:fldCharType="separate"/>
        <w:t xml:space="preserve">Shartnomaning amal qilish muddati tugaydigan sana</w:t>
      </w:r>
      <w:r>
        <w:rPr>
          <w:vanish w:val="false"/>
          <w:sz w:val="28"/>
          <w:rFonts w:ascii="Times New Roman" w:hAnsi="Times New Roman"/>
        </w:rPr>
        <w:fldChar w:fldCharType="end"/>
      </w:r>
      <w:r>
        <w:rPr>
          <w:sz w:val="28"/>
          <w:rFonts w:ascii="Times New Roman" w:hAnsi="Times New Roman"/>
        </w:rPr>
        <w:t xml:space="preserve">gacha amal qiladi. Agar shartnoma muddati tugagunga qadar bir oy muddat qolguncha tomonlarning birortasi yozma ravishda uning toʻxtatilishi toʻgʻrisida xabar bermasa, shartnoma kelgusi yilga amal qilish muddati uzaytirilgan deb hisoblanadi.</w:t>
      </w:r>
    </w:p>
    <w:p>
      <w:pPr>
        <w:jc w:val="both"/>
        <w:ind w:firstLine="426"/>
        <w:spacing w:after="0" w:line="276" w:lineRule="auto"/>
        <w:rPr>
          <w:sz w:val="24"/>
          <w:rFonts w:ascii="Times New Roman" w:hAnsi="Times New Roman"/>
        </w:rPr>
      </w:pPr>
      <w:r>
        <w:rPr>
          <w:sz w:val="28"/>
          <w:rFonts w:ascii="Times New Roman" w:hAnsi="Times New Roman"/>
        </w:rPr>
        <w:t xml:space="preserve">8.2. Ushbu shartnoma tomonlarning oʻzaro kelishuvlariga asosan yoki bir tomonning shartnomalari buzilganligi toʻgʻrisida ogohlantirishiga koʻra bekor qilinishi mumkin.</w:t>
      </w:r>
    </w:p>
    <w:p>
      <w:pPr>
        <w:jc w:val="both"/>
        <w:ind w:firstLine="426"/>
        <w:spacing w:after="0" w:line="276" w:lineRule="auto"/>
        <w:rPr>
          <w:sz w:val="24"/>
          <w:rFonts w:ascii="Times New Roman" w:hAnsi="Times New Roman"/>
        </w:rPr>
      </w:pPr>
      <w:r>
        <w:rPr>
          <w:sz w:val="28"/>
          <w:rFonts w:ascii="Times New Roman" w:hAnsi="Times New Roman"/>
        </w:rPr>
        <w:t xml:space="preserve">8.3. Shartnoma taraflar tomonidan imzolanib, gʻaznachilik boshqarmasi (boʻlimi)da belgilangan tartibda roʻyxatdan oʻtkazilganidan soʻng qonuniy kuchga kiradi.</w:t>
      </w:r>
    </w:p>
    <w:p>
      <w:pPr>
        <w:jc w:val="both"/>
        <w:ind w:firstLine="426"/>
        <w:spacing w:after="0" w:line="276" w:lineRule="auto"/>
        <w:rPr>
          <w:sz w:val="24"/>
          <w:rFonts w:ascii="Times New Roman" w:hAnsi="Times New Roman"/>
        </w:rPr>
      </w:pPr>
      <w:r>
        <w:rPr>
          <w:sz w:val="28"/>
          <w:rFonts w:ascii="Times New Roman" w:hAnsi="Times New Roman"/>
        </w:rPr>
        <w:t xml:space="preserve">8.4. Ushbu shartnoma ikki-nusxada tuzilgan va bir xil yuridik kuchga ega.</w:t>
      </w:r>
    </w:p>
    <w:p>
      <w:pPr>
        <w:jc w:val="both"/>
        <w:ind w:firstLine="426"/>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8"/>
          <w:rFonts w:ascii="Times New Roman" w:hAnsi="Times New Roman"/>
        </w:rPr>
        <w:t xml:space="preserve">9. TOMONLARNING MANZILI VA HISOB RAQAMLARI:</w:t>
      </w:r>
    </w:p>
    <w:p>
      <w:pPr>
        <w:spacing w:after="0" w:line="276" w:lineRule="auto"/>
        <w:rPr>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472"/>
        <w:gridCol w:w="2200"/>
        <w:gridCol w:w="2396"/>
        <w:gridCol w:w="2277"/>
      </w:tblGrid>
      <w:tr>
        <w:tc>
          <w:tcPr>
            <w:tcW w:w="4672" w:type="dxa"/>
            <w:gridSpan w:val="2"/>
          </w:tcPr>
          <w:p>
            <w:pPr>
              <w:jc w:val="center"/>
              <w:spacing w:line="276" w:lineRule="auto"/>
              <w:rPr>
                <w:sz w:val="24"/>
                <w:rFonts w:ascii="Times New Roman" w:hAnsi="Times New Roman"/>
              </w:rPr>
            </w:pPr>
            <w:r>
              <w:rPr>
                <w:b/>
                <w:sz w:val="28"/>
                <w:rFonts w:ascii="Times New Roman" w:hAnsi="Times New Roman"/>
              </w:rPr>
              <w:t>“Buyurtmachi”</w:t>
            </w:r>
          </w:p>
        </w:tc>
        <w:tc>
          <w:tcPr>
            <w:tcW w:w="4673" w:type="dxa"/>
            <w:gridSpan w:val="2"/>
          </w:tcPr>
          <w:p>
            <w:pPr>
              <w:jc w:val="center"/>
              <w:spacing w:line="276" w:lineRule="auto"/>
              <w:rPr>
                <w:sz w:val="24"/>
                <w:rFonts w:ascii="Times New Roman" w:hAnsi="Times New Roman"/>
              </w:rPr>
            </w:pPr>
            <w:r>
              <w:rPr>
                <w:b/>
                <w:sz w:val="28"/>
                <w:rFonts w:ascii="Times New Roman" w:hAnsi="Times New Roman"/>
              </w:rPr>
              <w:t xml:space="preserve">“Kuryerlik xizmati”</w:t>
            </w:r>
          </w:p>
        </w:tc>
      </w:tr>
      <w:tr>
        <w:tc>
          <w:tcPr>
            <w:tcW w:w="4672" w:type="dxa"/>
            <w:gridSpan w:val="2"/>
          </w:tcPr>
          <w:p>
            <w:pPr>
              <w:spacing w:line="276" w:lineRule="auto"/>
              <w:rPr>
                <w:sz w:val="24"/>
                <w:rFonts w:ascii="Times New Roman" w:hAnsi="Times New Roman"/>
              </w:rPr>
            </w:pPr>
            <w:r>
              <w:rPr>
                <w:b/>
                <w:sz w:val="28"/>
                <w:rFonts w:ascii="Times New Roman" w:hAnsi="Times New Roman"/>
              </w:rPr>
              <w:t xml:space="preserve">Yuridik manzil</w:t>
            </w:r>
            <w:r>
              <w:rPr>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Buyurtmachining manzili</w:t>
              <w:fldChar w:fldCharType="end"/>
            </w:r>
          </w:p>
        </w:tc>
        <w:tc>
          <w:tcPr>
            <w:tcW w:w="4673" w:type="dxa"/>
            <w:gridSpan w:val="2"/>
          </w:tcPr>
          <w:p>
            <w:pPr>
              <w:spacing w:line="276" w:lineRule="auto"/>
              <w:rPr>
                <w:sz w:val="24"/>
                <w:rFonts w:ascii="Times New Roman" w:hAnsi="Times New Roman"/>
              </w:rPr>
            </w:pPr>
            <w:r>
              <w:rPr>
                <w:b/>
                <w:sz w:val="28"/>
                <w:rFonts w:ascii="Times New Roman" w:hAnsi="Times New Roman"/>
              </w:rPr>
              <w:t xml:space="preserve">Yuridik manzil:</w:t>
            </w: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Kuryerlik xizmati tashkilotining manzili</w:t>
              <w:fldChar w:fldCharType="end"/>
            </w:r>
          </w:p>
        </w:tc>
      </w:tr>
      <w:tr>
        <w:tc>
          <w:tcPr>
            <w:tcW w:w="4672" w:type="dxa"/>
            <w:gridSpan w:val="2"/>
          </w:tcPr>
          <w:p>
            <w:pPr>
              <w:spacing w:line="276" w:lineRule="auto"/>
              <w:rPr>
                <w:sz w:val="24"/>
                <w:rFonts w:ascii="Times New Roman" w:hAnsi="Times New Roman"/>
              </w:rPr>
            </w:pPr>
            <w:r>
              <w:rPr>
                <w:b/>
                <w:sz w:val="28"/>
                <w:rFonts w:ascii="Times New Roman" w:hAnsi="Times New Roman"/>
              </w:rPr>
              <w:t xml:space="preserve">Hisob-kitob raqami</w:t>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Buyurtmachining hisob raqami</w:t>
              <w:fldChar w:fldCharType="end"/>
            </w:r>
          </w:p>
        </w:tc>
        <w:tc>
          <w:tcPr>
            <w:tcW w:w="4673" w:type="dxa"/>
            <w:gridSpan w:val="2"/>
          </w:tcPr>
          <w:p>
            <w:pPr>
              <w:spacing w:line="276" w:lineRule="auto"/>
              <w:rPr>
                <w:sz w:val="24"/>
                <w:rFonts w:ascii="Times New Roman" w:hAnsi="Times New Roman"/>
              </w:rPr>
            </w:pPr>
            <w:r>
              <w:rPr>
                <w:b/>
                <w:sz w:val="28"/>
                <w:rFonts w:ascii="Times New Roman" w:hAnsi="Times New Roman"/>
              </w:rPr>
              <w:t xml:space="preserve">Hisob-kitob raqami: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Kuryerlik xizmati tashkilotining hisob raqami</w:t>
              <w:fldChar w:fldCharType="end"/>
            </w:r>
          </w:p>
        </w:tc>
      </w:tr>
      <w:tr>
        <w:tc>
          <w:tcPr>
            <w:tcW w:w="4672" w:type="dxa"/>
            <w:gridSpan w:val="2"/>
          </w:tcPr>
          <w:p>
            <w:pPr>
              <w:spacing w:line="276" w:lineRule="auto"/>
              <w:rPr>
                <w:sz w:val="24"/>
                <w:rFonts w:ascii="Times New Roman" w:hAnsi="Times New Roman"/>
              </w:rPr>
            </w:pPr>
            <w:r>
              <w:rPr>
                <w:b/>
                <w:sz w:val="28"/>
                <w:rFonts w:ascii="Times New Roman" w:hAnsi="Times New Roman"/>
              </w:rPr>
              <w:t xml:space="preserve">Bank nomi:</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Buyurtmachining pul operatsiyalarini amalga oshiruvchi bank nomi</w:t>
              <w:fldChar w:fldCharType="end"/>
            </w:r>
          </w:p>
        </w:tc>
        <w:tc>
          <w:tcPr>
            <w:tcW w:w="4673" w:type="dxa"/>
            <w:gridSpan w:val="2"/>
          </w:tcPr>
          <w:p>
            <w:pPr>
              <w:ind w:left="46"/>
              <w:spacing w:line="276" w:lineRule="auto"/>
              <w:rPr>
                <w:sz w:val="24"/>
                <w:rFonts w:ascii="Times New Roman" w:hAnsi="Times New Roman"/>
              </w:rPr>
            </w:pPr>
            <w:r>
              <w:rPr>
                <w:b/>
                <w:sz w:val="28"/>
                <w:rFonts w:ascii="Times New Roman" w:hAnsi="Times New Roman"/>
              </w:rPr>
              <w:t xml:space="preserve">Bank nomi</w:t>
            </w:r>
            <w:r>
              <w:rPr>
                <w:sz w:val="28"/>
                <w:rFonts w:ascii="Times New Roman" w:hAnsi="Times New Roman"/>
              </w:rPr>
              <w:t xml:space="preserve">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Kuryerning pul operatsiyalarini amalga oshiruvchi bank nomi</w:t>
              <w:fldChar w:fldCharType="end"/>
            </w:r>
          </w:p>
        </w:tc>
      </w:tr>
      <w:tr>
        <w:tc>
          <w:tcPr>
            <w:tcW w:w="4672" w:type="dxa"/>
            <w:gridSpan w:val="2"/>
          </w:tcPr>
          <w:p>
            <w:pPr>
              <w:spacing w:line="276" w:lineRule="auto"/>
              <w:rPr>
                <w:sz w:val="24"/>
                <w:rFonts w:ascii="Times New Roman" w:hAnsi="Times New Roman"/>
              </w:rPr>
            </w:pPr>
            <w:r>
              <w:rPr>
                <w:b/>
                <w:sz w:val="28"/>
                <w:rFonts w:ascii="Times New Roman" w:hAnsi="Times New Roman"/>
              </w:rPr>
              <w:t xml:space="preserve">Bank kodi: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Pul operatsiyalarini amalga oshiruvchi bankning kodi</w:t>
              <w:fldChar w:fldCharType="end"/>
            </w:r>
          </w:p>
        </w:tc>
        <w:tc>
          <w:tcPr>
            <w:tcW w:w="4673" w:type="dxa"/>
            <w:gridSpan w:val="2"/>
          </w:tcPr>
          <w:p>
            <w:pPr>
              <w:spacing w:line="276" w:lineRule="auto"/>
              <w:rPr>
                <w:sz w:val="24"/>
                <w:rFonts w:ascii="Times New Roman" w:hAnsi="Times New Roman"/>
              </w:rPr>
            </w:pPr>
            <w:r>
              <w:rPr>
                <w:b/>
                <w:sz w:val="28"/>
                <w:rFonts w:ascii="Times New Roman" w:hAnsi="Times New Roman"/>
              </w:rPr>
              <w:t xml:space="preserve">Bank kodi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Pul operatsiyalarini amalga oshiruvchi bankning kodi</w:t>
              <w:fldChar w:fldCharType="end"/>
            </w:r>
          </w:p>
        </w:tc>
      </w:tr>
      <w:tr>
        <w:tc>
          <w:tcPr>
            <w:tcW w:w="4672" w:type="dxa"/>
            <w:gridSpan w:val="2"/>
          </w:tcPr>
          <w:p>
            <w:pPr>
              <w:spacing w:line="276" w:lineRule="auto"/>
              <w:rPr>
                <w:sz w:val="24"/>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Buyurtmachining STIR raqami</w:t>
              <w:fldChar w:fldCharType="end"/>
            </w:r>
          </w:p>
        </w:tc>
        <w:tc>
          <w:tcPr>
            <w:tcW w:w="4673" w:type="dxa"/>
            <w:gridSpan w:val="2"/>
          </w:tcPr>
          <w:p>
            <w:pPr>
              <w:spacing w:line="276" w:lineRule="auto"/>
              <w:rPr>
                <w:sz w:val="24"/>
                <w:rFonts w:ascii="Times New Roman" w:hAnsi="Times New Roman"/>
              </w:rPr>
            </w:pPr>
            <w:r>
              <w:rPr>
                <w:b/>
                <w:sz w:val="28"/>
                <w:rFonts w:ascii="Times New Roman" w:hAnsi="Times New Roman"/>
              </w:rPr>
              <w:t>STIR:</w:t>
            </w:r>
            <w:r>
              <w:rPr>
                <w:sz w:val="28"/>
                <w:rFonts w:ascii="Times New Roman" w:hAnsi="Times New Roman"/>
              </w:rPr>
              <w:t xml:space="preserve">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Kuryerning STIR raqami</w:t>
              <w:fldChar w:fldCharType="end"/>
            </w:r>
          </w:p>
        </w:tc>
      </w:tr>
      <w:tr>
        <w:tc>
          <w:tcPr>
            <w:tcW w:w="4672" w:type="dxa"/>
            <w:gridSpan w:val="2"/>
          </w:tcPr>
          <w:p>
            <w:pPr>
              <w:spacing w:line="276" w:lineRule="auto"/>
              <w:rPr>
                <w:sz w:val="24"/>
                <w:rFonts w:ascii="Times New Roman" w:hAnsi="Times New Roman"/>
              </w:rPr>
            </w:pPr>
            <w:r>
              <w:rPr>
                <w:b/>
                <w:sz w:val="28"/>
                <w:rFonts w:ascii="Times New Roman" w:hAnsi="Times New Roman"/>
              </w:rPr>
              <w:t xml:space="preserve">Aloqa telefon:</w:t>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Buyurtmachining aloqa raqami</w:t>
              <w:fldChar w:fldCharType="end"/>
            </w:r>
          </w:p>
        </w:tc>
        <w:tc>
          <w:tcPr>
            <w:tcW w:w="4673" w:type="dxa"/>
            <w:gridSpan w:val="2"/>
          </w:tcPr>
          <w:p>
            <w:pPr>
              <w:spacing w:line="276" w:lineRule="auto"/>
              <w:rPr>
                <w:sz w:val="24"/>
                <w:rFonts w:ascii="Times New Roman" w:hAnsi="Times New Roman"/>
              </w:rPr>
            </w:pPr>
            <w:r>
              <w:rPr>
                <w:b/>
                <w:sz w:val="28"/>
                <w:rFonts w:ascii="Times New Roman" w:hAnsi="Times New Roman"/>
              </w:rPr>
              <w:t xml:space="preserve">Aloqa telefon</w:t>
            </w:r>
            <w:r>
              <w:rPr>
                <w:sz w:val="28"/>
                <w:rFonts w:ascii="Times New Roman" w:hAnsi="Times New Roman"/>
              </w:rPr>
              <w:t xml:space="preserve">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Kuryerning aloqa raqami</w:t>
              <w:fldChar w:fldCharType="end"/>
            </w:r>
          </w:p>
        </w:tc>
      </w:tr>
      <w:tr>
        <w:tc>
          <w:tcPr>
            <w:tcW w:w="2472" w:type="dxa"/>
          </w:tcPr>
          <w:p>
            <w:pPr>
              <w:spacing w:line="276" w:lineRule="auto"/>
              <w:rPr>
                <w:sz w:val="24"/>
                <w:rFonts w:ascii="Times New Roman" w:hAnsi="Times New Roman"/>
              </w:rPr>
            </w:pPr>
            <w:r>
              <w:rPr>
                <w:b/>
                <w:sz w:val="28"/>
                <w:rFonts w:ascii="Times New Roman" w:hAnsi="Times New Roman"/>
              </w:rPr>
              <w:t>Buyurtmachi:</w:t>
            </w:r>
            <w:r>
              <w:rPr>
                <w:sz w:val="28"/>
                <w:rFonts w:ascii="Times New Roman" w:hAnsi="Times New Roman"/>
              </w:rPr>
              <w:t xml:space="preserve">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Buyurtmachi tashkilot rahbari lavozimi va F.I.O.si</w:t>
              <w:fldChar w:fldCharType="end"/>
            </w:r>
          </w:p>
        </w:tc>
        <w:tc>
          <w:tcPr>
            <w:tcW w:w="2200" w:type="dxa"/>
          </w:tcPr>
          <w:p>
            <w:pPr>
              <w:spacing w:line="276" w:lineRule="auto"/>
              <w:rPr>
                <w:sz w:val="24"/>
                <w:rFonts w:ascii="Times New Roman" w:hAnsi="Times New Roman"/>
              </w:rPr>
            </w:pPr>
          </w:p>
          <w:p>
            <w:pPr>
              <w:spacing w:line="276" w:lineRule="auto"/>
              <w:rPr>
                <w:sz w:val="24"/>
                <w:rFonts w:ascii="Times New Roman" w:hAnsi="Times New Roman"/>
              </w:rPr>
            </w:pPr>
            <w:r>
              <w:rPr>
                <w:sz w:val="28"/>
                <w:rFonts w:ascii="Times New Roman" w:hAnsi="Times New Roman"/>
              </w:rPr>
              <w:t>(imzo)___</w:t>
            </w:r>
          </w:p>
        </w:tc>
        <w:tc>
          <w:tcPr>
            <w:tcW w:w="2396" w:type="dxa"/>
          </w:tcPr>
          <w:p>
            <w:pPr>
              <w:spacing w:line="276" w:lineRule="auto"/>
              <w:rPr>
                <w:sz w:val="24"/>
                <w:rFonts w:ascii="Times New Roman" w:hAnsi="Times New Roman"/>
              </w:rPr>
            </w:pPr>
            <w:r>
              <w:rPr>
                <w:b/>
                <w:sz w:val="28"/>
                <w:rFonts w:ascii="Times New Roman" w:hAnsi="Times New Roman"/>
              </w:rPr>
              <w:t xml:space="preserve">Kuryerlik xizmati</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Kuryerlik xizmati tashkilotining rahbari lavozimi va F.I.O.si</w:t>
              <w:fldChar w:fldCharType="end"/>
            </w:r>
          </w:p>
        </w:tc>
        <w:tc>
          <w:tcPr>
            <w:tcW w:w="2277" w:type="dxa"/>
          </w:tcPr>
          <w:p>
            <w:pPr>
              <w:spacing w:line="276" w:lineRule="auto"/>
              <w:rPr>
                <w:sz w:val="24"/>
                <w:rFonts w:ascii="Times New Roman" w:hAnsi="Times New Roman"/>
              </w:rPr>
            </w:pPr>
          </w:p>
          <w:p>
            <w:pPr>
              <w:spacing w:line="276" w:lineRule="auto"/>
              <w:rPr>
                <w:sz w:val="24"/>
                <w:rFonts w:ascii="Times New Roman" w:hAnsi="Times New Roman"/>
              </w:rPr>
            </w:pPr>
            <w:r>
              <w:rPr>
                <w:sz w:val="28"/>
                <w:rFonts w:ascii="Times New Roman" w:hAnsi="Times New Roman"/>
              </w:rPr>
              <w:t>(imzo)_______</w:t>
            </w:r>
          </w:p>
        </w:tc>
      </w:tr>
      <w:tr>
        <w:tc>
          <w:tcPr>
            <w:tcW w:w="4672" w:type="dxa"/>
            <w:gridSpan w:val="2"/>
          </w:tcPr>
          <w:p>
            <w:pPr>
              <w:spacing w:line="276" w:lineRule="auto"/>
              <w:rPr>
                <w:sz w:val="24"/>
                <w:rFonts w:ascii="Times New Roman" w:hAnsi="Times New Roman"/>
              </w:rPr>
            </w:pPr>
          </w:p>
          <w:p>
            <w:pPr>
              <w:spacing w:line="276" w:lineRule="auto"/>
              <w:rPr>
                <w:sz w:val="24"/>
                <w:rFonts w:ascii="Times New Roman" w:hAnsi="Times New Roman"/>
              </w:rPr>
            </w:pPr>
          </w:p>
          <w:p>
            <w:pPr>
              <w:jc w:val="center"/>
              <w:spacing w:line="276" w:lineRule="auto"/>
              <w:rPr>
                <w:sz w:val="24"/>
                <w:rFonts w:ascii="Times New Roman" w:hAnsi="Times New Roman"/>
              </w:rPr>
            </w:pPr>
            <w:r>
              <w:rPr>
                <w:sz w:val="28"/>
                <w:rFonts w:ascii="Times New Roman" w:hAnsi="Times New Roman"/>
              </w:rPr>
              <w:t>M.Oʻ.</w:t>
            </w:r>
          </w:p>
        </w:tc>
        <w:tc>
          <w:tcPr>
            <w:tcW w:w="4673" w:type="dxa"/>
            <w:gridSpan w:val="2"/>
          </w:tcPr>
          <w:p>
            <w:pPr>
              <w:spacing w:line="276" w:lineRule="auto"/>
              <w:rPr>
                <w:sz w:val="24"/>
                <w:rFonts w:ascii="Times New Roman" w:hAnsi="Times New Roman"/>
              </w:rPr>
            </w:pPr>
          </w:p>
          <w:p>
            <w:pPr>
              <w:spacing w:line="276" w:lineRule="auto"/>
              <w:rPr>
                <w:sz w:val="24"/>
                <w:rFonts w:ascii="Times New Roman" w:hAnsi="Times New Roman"/>
              </w:rPr>
            </w:pPr>
          </w:p>
          <w:p>
            <w:pPr>
              <w:jc w:val="center"/>
              <w:spacing w:line="276" w:lineRule="auto"/>
              <w:rPr>
                <w:sz w:val="24"/>
                <w:rFonts w:ascii="Times New Roman" w:hAnsi="Times New Roman"/>
              </w:rPr>
            </w:pPr>
            <w:r>
              <w:rPr>
                <w:sz w:val="28"/>
                <w:rFonts w:ascii="Times New Roman" w:hAnsi="Times New Roman"/>
              </w:rPr>
              <w:t>M.Oʻ.</w:t>
            </w:r>
          </w:p>
        </w:tc>
      </w:tr>
    </w:tbl>
    <w:p>
      <w:pPr>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A5"/>
    <w:rsid w:val="00001DC8"/>
    <w:rsid w:val="000D7598"/>
    <w:rsid w:val="001A3BA5"/>
    <w:rsid w:val="002464F2"/>
    <w:rsid w:val="00470600"/>
    <w:rsid w:val="005C5151"/>
    <w:rsid w:val="006F67EB"/>
    <w:rsid w:val="0074793B"/>
    <w:rsid w:val="0076558B"/>
    <w:rsid w:val="0077467F"/>
    <w:rsid w:val="00B02A9F"/>
    <w:rsid w:val="00F54295"/>
    <w:rsid w:val="00F673D2"/>
    <w:rsid w:val="00FD5220"/>
    <w:rsid w:val="00FE1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D80D5C-5BD4-4722-9578-1F2094FA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4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F67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1277</Words>
  <Characters>7281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Yo'lchiboy Buriyev</dc:creator>
  <cp:keywords/>
  <dc:description/>
  <cp:lastModifiedBy>Shakarboy Goyibnazarov</cp:lastModifiedBy>
  <cp:revision>2</cp:revision>
  <dcterms:created xsi:type="dcterms:W3CDTF">2022-08-20T12:49:00Z</dcterms:created>
  <dcterms:modified xsi:type="dcterms:W3CDTF">2022-08-20T12:49:00Z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Buyurtmachi</w:name>
    <w:value w:hidden="true">
      <w:unit w:active="false"/>
    </w:value>
  </w:element>
  <w:element w:id="6" w:kind="variable" w:selector="check" w:type="string" w:valueMode="normal" w:required="false" w:groupID="5">
    <w:identifier xml:space="preserve">ID6</w:identifier>
    <w:name xml:space="preserve">Buyurtmachi tashkilot nomi, tashkiliy huquqiy shakli</w:name>
    <w:value w:hidden="false">
      <w:unit w:active="false"/>
    </w:value>
  </w:element>
  <w:element w:id="7" w:kind="variable" w:selector="check" w:type="string" w:valueMode="normal" w:required="false" w:groupID="5">
    <w:identifier xml:space="preserve">ID7</w:identifier>
    <w:name xml:space="preserve">Buyurtmachi tashkilot rahbari lavozimi va F.I.O.si</w:name>
    <w:value w:hidden="false">
      <w:unit w:active="false"/>
    </w:value>
  </w:element>
  <w:element w:id="8" w:kind="variable" w:selector="check" w:type="string" w:valueMode="normal" w:required="false" w:groupID="5">
    <w:identifier xml:space="preserve">ID8</w:identifier>
    <w:name xml:space="preserve">Buyurtmachining manzili</w:name>
    <w:value w:hidden="false">
      <w:unit w:active="false"/>
    </w:value>
  </w:element>
  <w:element w:id="9" w:kind="variable" w:selector="check" w:type="string" w:valueMode="normal" w:required="false" w:groupID="5">
    <w:identifier xml:space="preserve">ID9</w:identifier>
    <w:name xml:space="preserve">Buyurtmachining hisob raqami</w:name>
    <w:value w:hidden="false">
      <w:unit w:active="false"/>
    </w:value>
  </w:element>
  <w:element w:id="10" w:kind="variable" w:selector="check" w:type="string" w:valueMode="normal" w:required="false" w:groupID="5">
    <w:identifier xml:space="preserve">ID10</w:identifier>
    <w:name xml:space="preserve">Buyurtmachining pul operatsiyalarini amalga oshiruvchi bank nomi</w:name>
    <w:value w:hidden="false">
      <w:unit w:active="false"/>
    </w:value>
  </w:element>
  <w:element w:id="11" w:kind="variable" w:selector="check" w:type="string" w:valueMode="normal" w:required="false" w:groupID="5">
    <w:identifier xml:space="preserve">ID11</w:identifier>
    <w:name xml:space="preserve">Pul operatsiyalarini amalga oshiruvchi bankning kodi</w:name>
    <w:value w:hidden="false">
      <w:unit w:active="false"/>
    </w:value>
  </w:element>
  <w:element w:id="12" w:kind="variable" w:selector="check" w:type="number" w:valueMode="normal" w:required="false" w:groupID="5">
    <w:identifier xml:space="preserve">ID12</w:identifier>
    <w:name xml:space="preserve">Buyurtmachining STIR raqami</w:name>
    <w:value w:hidden="false">
      <w:unit w:active="false"/>
    </w:value>
  </w:element>
  <w:element w:id="13" w:kind="variable" w:selector="check" w:type="number" w:valueMode="normal" w:required="false" w:groupID="5">
    <w:identifier xml:space="preserve">ID13</w:identifier>
    <w:name xml:space="preserve">Buyurtmachining aloqa raqami</w:name>
    <w:value w:hidden="false">
      <w:unit w:active="false"/>
    </w:value>
  </w:element>
  <w:element w:id="14" w:kind="category" w:selector="check" w:type="string" w:valueMode="normal" w:required="false">
    <w:identifier xml:space="preserve">ID14</w:identifier>
    <w:name xml:space="preserve">III. Kuryerlik xizmati</w:name>
    <w:value w:hidden="true">
      <w:unit w:active="false"/>
    </w:value>
  </w:element>
  <w:element w:id="15" w:kind="variable" w:selector="check" w:type="string" w:valueMode="normal" w:required="false" w:groupID="14">
    <w:identifier xml:space="preserve">ID15</w:identifier>
    <w:name xml:space="preserve">Kuryerlik xizmatini amalga oshiruvchi tashkilot nomi tashkiliy huquqiy shakli</w:name>
    <w:value w:hidden="false">
      <w:unit w:active="false"/>
    </w:value>
  </w:element>
  <w:element w:id="16" w:kind="variable" w:selector="check" w:type="string" w:valueMode="normal" w:required="false" w:groupID="14">
    <w:identifier xml:space="preserve">ID16</w:identifier>
    <w:name xml:space="preserve">Kuryerlik xizmati tashkilotining rahbari lavozimi va F.I.O.si</w:name>
    <w:value w:hidden="false">
      <w:unit w:active="false"/>
    </w:value>
  </w:element>
  <w:element w:id="17" w:kind="variable" w:selector="check" w:type="string" w:valueMode="normal" w:required="false" w:groupID="14">
    <w:identifier xml:space="preserve">ID17</w:identifier>
    <w:name xml:space="preserve">Kuryerlik xizmati tashkilotining manzili</w:name>
    <w:value w:hidden="false">
      <w:unit w:active="false"/>
    </w:value>
  </w:element>
  <w:element w:id="18" w:kind="variable" w:selector="check" w:type="string" w:valueMode="normal" w:required="false" w:groupID="14">
    <w:identifier xml:space="preserve">ID18</w:identifier>
    <w:name xml:space="preserve">Kuryerlik xizmati tashkilotining hisob raqami</w:name>
    <w:value w:hidden="false">
      <w:unit w:active="false"/>
    </w:value>
  </w:element>
  <w:element w:id="19" w:kind="variable" w:selector="check" w:type="string" w:valueMode="normal" w:required="false" w:groupID="14">
    <w:identifier xml:space="preserve">ID19</w:identifier>
    <w:name xml:space="preserve">Kuryerning pul operatsiyalarini amalga oshiruvchi bank nomi</w:name>
    <w:value w:hidden="false">
      <w:unit w:active="false"/>
    </w:value>
  </w:element>
  <w:element w:id="20" w:kind="variable" w:selector="check" w:type="string" w:valueMode="normal" w:required="false" w:groupID="14">
    <w:identifier xml:space="preserve">ID20</w:identifier>
    <w:name xml:space="preserve">Pul operatsiyalarini amalga oshiruvchi bankning kodi</w:name>
    <w:value w:hidden="false">
      <w:unit w:active="false"/>
    </w:value>
  </w:element>
  <w:element w:id="21" w:kind="variable" w:selector="check" w:type="number" w:valueMode="normal" w:required="false" w:groupID="14">
    <w:identifier xml:space="preserve">ID21</w:identifier>
    <w:name xml:space="preserve">Kuryerning STIR raqami</w:name>
    <w:value w:hidden="false">
      <w:unit w:active="false"/>
    </w:value>
  </w:element>
  <w:element w:id="22" w:kind="variable" w:selector="check" w:type="number" w:valueMode="normal" w:required="false" w:groupID="14">
    <w:identifier xml:space="preserve">ID22</w:identifier>
    <w:name xml:space="preserve">Kuryerning aloqa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Kuryerlik xizmat amalga oshiriluvchi hudud</w:name>
    <w:value w:hidden="false">
      <w:unit w:active="false"/>
    </w:value>
  </w:element>
  <w:element w:id="25" w:kind="variable" w:selector="check" w:type="string" w:valueMode="normal" w:required="false" w:groupID="23">
    <w:identifier xml:space="preserve">ID25</w:identifier>
    <w:name xml:space="preserve">Buyurtmachi tomonidan kuryerlik xizmatiga yetkazib berilgan har bir xat uchun amalga oshiriladigan to‘lov narxi</w:name>
    <w:value w:hidden="false">
      <w:unit w:active="false"/>
    </w:value>
  </w:element>
  <w:element w:id="26" w:kind="variable" w:selector="check" w:type="percent" w:valueMode="normal" w:required="false" w:groupID="23">
    <w:identifier xml:space="preserve">ID26</w:identifier>
    <w:name xml:space="preserve">Buyurtmachi tomonidan kuryerlik xizmatiga to‘lanadigan oldindan to‘lov narxi</w:name>
    <w:value w:hidden="false">
      <w:unit w:active="false"/>
    </w:value>
  </w:element>
  <w:element w:id="27" w:kind="variable" w:selector="check" w:type="string" w:valueMode="normal" w:required="false" w:groupID="23">
    <w:identifier xml:space="preserve">ID27</w:identifier>
    <w:name xml:space="preserve">Xizmat haqi narxnomasiga o‘zgartirish kiritilishi to‘g‘risida kuryerlik xizmati buyurtmachiga necha kun oldin xabar berishi lozim</w:name>
    <w:value w:hidden="false">
      <w:unit w:active="false"/>
    </w:value>
  </w:element>
  <w:element w:id="28" w:kind="variable" w:selector="check" w:type="string" w:valueMode="normal" w:required="false" w:groupID="23">
    <w:identifier xml:space="preserve">ID28</w:identifier>
    <w:name xml:space="preserve">Shartnomaning umumiy summasi</w:name>
    <w:value w:hidden="false">
      <w:unit w:active="false"/>
    </w:value>
  </w:element>
  <w:element w:id="29" w:kind="variable" w:selector="check" w:type="date" w:valueMode="normal" w:required="false" w:groupID="23">
    <w:identifier xml:space="preserve">ID29</w:identifier>
    <w:name xml:space="preserve">Шартноманинг амал қилиш муддати тугайдиган сана</w:name>
    <w:value w:hidden="false">
      <w:unit w:active="false"/>
    </w:value>
  </w:element>
</w:structure>
</file>