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4"/>
        <w:gridCol w:w="3685"/>
        <w:gridCol w:w="2546"/>
      </w:tblGrid>
      <w:tr>
        <w:tc>
          <w:tcPr>
            <w:tcW w:w="3114" w:type="dxa"/>
          </w:tcPr>
          <w:p>
            <w:pPr>
              <w:jc w:val="both"/>
              <w:spacing w:after="0"/>
              <w:rPr>
                <w:b/>
                <w:rFonts w:ascii="Times New Roman" w:hAnsi="Times New Roman"/>
              </w:rPr>
            </w:pPr>
            <w:r>
              <w:rPr>
                <w:b/>
                <w:rFonts w:ascii="Times New Roman" w:hAnsi="Times New Roman"/>
              </w:rPr>
            </w:r>
          </w:p>
        </w:tc>
        <w:tc>
          <w:tcPr>
            <w:tcW w:w="3685" w:type="dxa"/>
          </w:tcPr>
          <w:p>
            <w:pPr>
              <w:rPr>
                <w:b/>
                <w:rFonts w:ascii="Times New Roman" w:hAnsi="Times New Roman"/>
              </w:rPr>
            </w:pPr>
            <w:r>
              <w:rPr>
                <w:b/>
                <w:rFonts w:ascii="Times New Roman" w:hAnsi="Times New Roman"/>
              </w:rPr>
              <w:t xml:space="preserve">LIZING SHARTNOMASI</w:t>
            </w:r>
          </w:p>
        </w:tc>
        <w:tc>
          <w:tcPr>
            <w:tcW w:w="2546" w:type="dxa"/>
          </w:tcPr>
          <w:p>
            <w:pPr>
              <w:jc w:val="center"/>
              <w:rPr>
                <w:b/>
                <w:sz w:val="24"/>
                <w:rFonts w:ascii="Times New Roman" w:hAnsi="Times New Roman"/>
              </w:rPr>
            </w:pPr>
          </w:p>
        </w:tc>
      </w:tr>
    </w:tbl>
    <w:p>
      <w:pPr>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rPr>
                <w:b/>
                <w:sz w:val="24"/>
                <w:rFonts w:ascii="Times New Roman" w:hAnsi="Times New Roman"/>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tcPr>
          <w:p>
            <w:pPr>
              <w:jc w:val="center"/>
              <w:rPr>
                <w:b/>
                <w:sz w:val="24"/>
                <w:rFonts w:ascii="Times New Roman" w:hAnsi="Times New Roman"/>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rFonts w:ascii="Times New Roman" w:hAnsi="Times New Roman"/>
                <w:spacing w:val="0"/>
                <w:position w:val="-1"/>
              </w:rPr>
              <w:t>-</w:t>
            </w:r>
            <w:r>
              <w:rPr>
                <w:sz w:val="24"/>
                <w:rFonts w:ascii="Times New Roman" w:hAnsi="Times New Roman"/>
                <w:position w:val="-1"/>
              </w:rPr>
              <w:t>s</w:t>
            </w:r>
            <w:r>
              <w:rPr>
                <w:sz w:val="24"/>
                <w:rFonts w:ascii="Times New Roman" w:hAnsi="Times New Roman"/>
                <w:spacing w:val="0"/>
                <w:position w:val="-1"/>
              </w:rPr>
              <w:t>o</w:t>
            </w:r>
            <w:r>
              <w:rPr>
                <w:sz w:val="24"/>
                <w:rFonts w:ascii="Times New Roman" w:hAnsi="Times New Roman"/>
                <w:position w:val="-1"/>
              </w:rPr>
              <w:t>n</w:t>
            </w:r>
          </w:p>
        </w:tc>
        <w:tc>
          <w:tcPr>
            <w:tcW w:w="3115" w:type="dxa"/>
          </w:tcPr>
          <w:p>
            <w:pPr>
              <w:jc w:val="center"/>
              <w:rPr>
                <w:b/>
                <w:sz w:val="24"/>
                <w:rFonts w:ascii="Times New Roman" w:hAnsi="Times New Roman"/>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center"/>
        <w:rPr>
          <w:b/>
          <w:sz w:val="24"/>
          <w:rFonts w:ascii="Times New Roman" w:hAnsi="Times New Roman"/>
        </w:rPr>
      </w:pP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Lizing beruvchi tashkilot nomi, tashkiliy huquqiy shakli</w:t>
      </w:r>
      <w:r>
        <w:rPr>
          <w:vanish w:val="false"/>
          <w:sz w:val="24"/>
          <w:rFonts w:ascii="Times New Roman" w:hAnsi="Times New Roman"/>
        </w:rPr>
        <w:fldChar w:fldCharType="end"/>
      </w:r>
      <w:r>
        <w:rPr>
          <w:sz w:val="24"/>
          <w:rFonts w:ascii="Times New Roman" w:hAnsi="Times New Roman"/>
        </w:rPr>
        <w:t xml:space="preserve"> (keyingi oʻrinlarda “Lizing beruvchi” deb yuritiladi) nomidan </w:t>
      </w:r>
      <w:r>
        <w:rPr>
          <w:vanish w:val="false"/>
          <w:sz w:val="24"/>
          <w:rFonts w:ascii="Times New Roman" w:hAnsi="Times New Roman"/>
        </w:rPr>
        <w:fldChar w:fldCharType="begin"/>
        <w:instrText xml:space="preserve">X {"Y":7}</w:instrText>
        <w:fldChar w:fldCharType="separate"/>
        <w:t xml:space="preserve">Lizing beruvchi tashkilot vakiliga vakolat beruvchi (uning vakolatini tasdiqlovchi)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{"Y":8}</w:instrText>
        <w:fldChar w:fldCharType="separate"/>
        <w:t xml:space="preserve">Lizing beruvchi tashkilot rahbarining F.I.O.si</w:t>
      </w:r>
      <w:r>
        <w:rPr>
          <w:vanish w:val="false"/>
          <w:sz w:val="24"/>
          <w:rFonts w:ascii="Times New Roman" w:hAnsi="Times New Roman"/>
        </w:rPr>
        <w:fldChar w:fldCharType="end"/>
      </w:r>
      <w:r>
        <w:rPr>
          <w:sz w:val="24"/>
          <w:rFonts w:ascii="Times New Roman" w:hAnsi="Times New Roman"/>
        </w:rPr>
        <w:t xml:space="preserve"> bir tomondan va </w:t>
      </w:r>
      <w:r>
        <w:rPr>
          <w:vanish w:val="false"/>
          <w:sz w:val="24"/>
          <w:rFonts w:ascii="Times New Roman" w:hAnsi="Times New Roman"/>
        </w:rPr>
        <w:fldChar w:fldCharType="begin"/>
        <w:instrText xml:space="preserve">X {"Y":15}</w:instrText>
        <w:fldChar w:fldCharType="separate"/>
        <w:t xml:space="preserve">Lizing oluvchi tashkilot nomi, tashkiliy huquqiy shakli</w:t>
      </w:r>
      <w:r>
        <w:rPr>
          <w:vanish w:val="false"/>
          <w:sz w:val="24"/>
          <w:rFonts w:ascii="Times New Roman" w:hAnsi="Times New Roman"/>
        </w:rPr>
        <w:fldChar w:fldCharType="end"/>
      </w:r>
      <w:r>
        <w:rPr>
          <w:sz w:val="24"/>
          <w:rFonts w:ascii="Times New Roman" w:hAnsi="Times New Roman"/>
        </w:rPr>
        <w:t xml:space="preserve"> (keyingi oʻrinlarda “Lizing oluvchi” deb yuritiladi) nomidan </w:t>
      </w:r>
      <w:r>
        <w:rPr>
          <w:vanish w:val="false"/>
          <w:sz w:val="24"/>
          <w:rFonts w:ascii="Times New Roman" w:hAnsi="Times New Roman"/>
        </w:rPr>
        <w:fldChar w:fldCharType="begin"/>
        <w:instrText xml:space="preserve">X {"Y":16}</w:instrText>
        <w:fldChar w:fldCharType="separate"/>
        <w:t xml:space="preserve">Lizing oluvchi tashkilotning vakiliga vakolat beruvchi (uning vakolatini tasdiqlovchi)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{"Y":17}</w:instrText>
        <w:fldChar w:fldCharType="separate"/>
        <w:t xml:space="preserve">Lizing oluvchi (tashkilot rahbari)ning F.I.O.si</w:t>
      </w:r>
      <w:r>
        <w:rPr>
          <w:vanish w:val="false"/>
          <w:sz w:val="24"/>
          <w:rFonts w:ascii="Times New Roman" w:hAnsi="Times New Roman"/>
        </w:rPr>
        <w:fldChar w:fldCharType="end"/>
      </w:r>
      <w:r>
        <w:rPr>
          <w:sz w:val="24"/>
          <w:rFonts w:ascii="Times New Roman" w:hAnsi="Times New Roman"/>
        </w:rPr>
        <w:t xml:space="preserve"> ikkinchi tomondan quyidagilar haqida ushbu shartnomani tuzdilar:</w:t>
      </w:r>
    </w:p>
    <w:tbl>
      <w:tblPr>
        <w:tblStyle w:val="a4"/>
        <w:tblW w:w="0" w:type="auto"/>
        <w:tblInd w:w="72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94"/>
        <w:gridCol w:w="3685"/>
        <w:gridCol w:w="2546"/>
      </w:tblGrid>
      <w:tr>
        <w:tc>
          <w:tcPr>
            <w:tcW w:w="2394" w:type="dxa"/>
          </w:tcPr>
          <w:p>
            <w:pPr>
              <w:pStyle w:val="a3"/>
              <w:jc w:val="center"/>
              <w:ind w:left="0"/>
              <w:rPr>
                <w:b/>
                <w:sz w:val="24"/>
                <w:rFonts w:ascii="Times New Roman" w:hAnsi="Times New Roman"/>
              </w:rPr>
            </w:pPr>
          </w:p>
        </w:tc>
        <w:tc>
          <w:tcPr>
            <w:tcW w:w="3685" w:type="dxa"/>
          </w:tcPr>
          <w:p>
            <w:pPr>
              <w:rPr>
                <w:b/>
                <w:rFonts w:ascii="Times New Roman" w:hAnsi="Times New Roman"/>
              </w:rPr>
            </w:pPr>
          </w:p>
          <w:p>
            <w:pPr>
              <w:rPr>
                <w:b/>
                <w:rFonts w:ascii="Times New Roman" w:hAnsi="Times New Roman"/>
              </w:rPr>
            </w:pPr>
            <w:r>
              <w:rPr>
                <w:b/>
                <w:rFonts w:ascii="Times New Roman" w:hAnsi="Times New Roman"/>
              </w:rPr>
              <w:t xml:space="preserve">1. LIZING SHARTLARI</w:t>
            </w:r>
          </w:p>
        </w:tc>
        <w:tc>
          <w:tcPr>
            <w:tcW w:w="2546" w:type="dxa"/>
          </w:tcPr>
          <w:p>
            <w:pPr>
              <w:pStyle w:val="a3"/>
              <w:jc w:val="center"/>
              <w:ind w:left="0"/>
              <w:rPr>
                <w:b/>
                <w:sz w:val="24"/>
                <w:rFonts w:ascii="Times New Roman" w:hAnsi="Times New Roman"/>
              </w:rPr>
            </w:pPr>
          </w:p>
        </w:tc>
      </w:tr>
    </w:tbl>
    <w:p>
      <w:pPr>
        <w:pStyle w:val="a3"/>
        <w:jc w:val="both"/>
        <w:ind w:left="0" w:firstLine="425"/>
        <w:spacing w:after="0" w:line="288" w:lineRule="auto"/>
        <w:rPr>
          <w:sz w:val="24"/>
          <w:rFonts w:ascii="Times New Roman" w:hAnsi="Times New Roman"/>
        </w:rPr>
      </w:pP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1.1. “Lizing beruvchi” “Lizing oluvchiga” </w:t>
      </w:r>
      <w:r>
        <w:rPr>
          <w:vanish w:val="false"/>
          <w:sz w:val="24"/>
          <w:rFonts w:ascii="Times New Roman" w:hAnsi="Times New Roman"/>
        </w:rPr>
        <w:fldChar w:fldCharType="begin"/>
        <w:instrText xml:space="preserve">X {"Y":24}</w:instrText>
        <w:fldChar w:fldCharType="separate"/>
        <w:t xml:space="preserve">Lizingga berilayotgan moddiy qiymatdagi lizing obyektining lizing oluvchi tomonidan foydalanish muddati</w:t>
      </w:r>
      <w:r>
        <w:rPr>
          <w:vanish w:val="false"/>
          <w:sz w:val="24"/>
          <w:rFonts w:ascii="Times New Roman" w:hAnsi="Times New Roman"/>
        </w:rPr>
        <w:fldChar w:fldCharType="end"/>
      </w:r>
      <w:r>
        <w:rPr>
          <w:sz w:val="24"/>
          <w:rFonts w:ascii="Times New Roman" w:hAnsi="Times New Roman"/>
        </w:rPr>
        <w:t xml:space="preserve"> muddatga quyida kelishilgan miqdordagi haq evaziga Lizing oluvchi tomonidan berilgan buyurtma talablariga javob beruvchi </w:t>
      </w:r>
      <w:r>
        <w:rPr>
          <w:vanish w:val="false"/>
          <w:sz w:val="24"/>
          <w:rFonts w:ascii="Times New Roman" w:hAnsi="Times New Roman"/>
        </w:rPr>
        <w:fldChar w:fldCharType="begin"/>
        <w:instrText xml:space="preserve">X {"Y":25}</w:instrText>
        <w:fldChar w:fldCharType="separate"/>
        <w:t xml:space="preserve">Lizingga berilayotgan lizing obyektining nomi</w:t>
      </w:r>
      <w:r>
        <w:rPr>
          <w:vanish w:val="false"/>
          <w:sz w:val="24"/>
          <w:rFonts w:ascii="Times New Roman" w:hAnsi="Times New Roman"/>
        </w:rPr>
        <w:fldChar w:fldCharType="end"/>
      </w:r>
      <w:r>
        <w:rPr>
          <w:sz w:val="24"/>
          <w:rFonts w:ascii="Times New Roman" w:hAnsi="Times New Roman"/>
        </w:rPr>
        <w:t xml:space="preserve">ni (keyingi oʻrinlarda “Lizing obyekti” deb yuritiladi) ijaraga beradi. Lizing obyektini yetkazib beruvchi boʻlib </w:t>
      </w:r>
      <w:r>
        <w:rPr>
          <w:vanish w:val="false"/>
          <w:sz w:val="24"/>
          <w:rFonts w:ascii="Times New Roman" w:hAnsi="Times New Roman"/>
        </w:rPr>
        <w:fldChar w:fldCharType="begin"/>
        <w:instrText xml:space="preserve">X {"Y":26}</w:instrText>
        <w:fldChar w:fldCharType="separate"/>
        <w:t xml:space="preserve">Lizing obyektini lizing oluvchiga yetkazib beruvchi tashkilot nomi yoki shaxsning F.I.O.si</w:t>
      </w:r>
      <w:r>
        <w:rPr>
          <w:vanish w:val="false"/>
          <w:sz w:val="24"/>
          <w:rFonts w:ascii="Times New Roman" w:hAnsi="Times New Roman"/>
        </w:rPr>
        <w:fldChar w:fldCharType="end"/>
      </w:r>
      <w:r>
        <w:rPr>
          <w:sz w:val="24"/>
          <w:rFonts w:ascii="Times New Roman" w:hAnsi="Times New Roman"/>
        </w:rPr>
        <w:t xml:space="preserve"> hisoblanadi (keyingi oʻrinlarda “Yetkazib beruvchi” deb yuritiladi). </w:t>
      </w:r>
    </w:p>
    <w:p>
      <w:pPr>
        <w:pStyle w:val="a3"/>
        <w:jc w:val="both"/>
        <w:ind w:left="0" w:firstLine="425"/>
        <w:spacing w:after="0" w:line="288" w:lineRule="auto"/>
        <w:rPr>
          <w:sz w:val="24"/>
          <w:rFonts w:ascii="Times New Roman" w:hAnsi="Times New Roman"/>
        </w:rPr>
      </w:pPr>
      <w:r>
        <w:rPr>
          <w:sz w:val="24"/>
          <w:rFonts w:ascii="Times New Roman" w:hAnsi="Times New Roman"/>
        </w:rPr>
        <w:t>Yetkazib</w:t>
      </w:r>
      <w:r>
        <w:rPr>
          <w:sz w:val="24"/>
          <w:rFonts w:ascii="Times New Roman" w:hAnsi="Times New Roman"/>
          <w:spacing w:val="0"/>
        </w:rPr>
        <w:t xml:space="preserve"> </w:t>
      </w:r>
      <w:r>
        <w:rPr>
          <w:sz w:val="24"/>
          <w:rFonts w:ascii="Times New Roman" w:hAnsi="Times New Roman"/>
        </w:rPr>
        <w:t>be</w:t>
      </w:r>
      <w:r>
        <w:rPr>
          <w:sz w:val="24"/>
          <w:rFonts w:ascii="Times New Roman" w:hAnsi="Times New Roman"/>
          <w:spacing w:val="0"/>
        </w:rPr>
        <w:t>ri</w:t>
      </w:r>
      <w:r>
        <w:rPr>
          <w:sz w:val="24"/>
          <w:rFonts w:ascii="Times New Roman" w:hAnsi="Times New Roman"/>
        </w:rPr>
        <w:t>sh</w:t>
      </w:r>
      <w:r>
        <w:rPr>
          <w:sz w:val="24"/>
          <w:rFonts w:ascii="Times New Roman" w:hAnsi="Times New Roman"/>
          <w:spacing w:val="0"/>
        </w:rPr>
        <w:t xml:space="preserve"> mu</w:t>
      </w:r>
      <w:r>
        <w:rPr>
          <w:sz w:val="24"/>
          <w:rFonts w:ascii="Times New Roman" w:hAnsi="Times New Roman"/>
        </w:rPr>
        <w:t>d</w:t>
      </w:r>
      <w:r>
        <w:rPr>
          <w:sz w:val="24"/>
          <w:rFonts w:ascii="Times New Roman" w:hAnsi="Times New Roman"/>
          <w:spacing w:val="0"/>
        </w:rPr>
        <w:t>d</w:t>
      </w:r>
      <w:r>
        <w:rPr>
          <w:sz w:val="24"/>
          <w:rFonts w:ascii="Times New Roman" w:hAnsi="Times New Roman"/>
        </w:rPr>
        <w:t xml:space="preserve">ati </w:t>
      </w:r>
      <w:r>
        <w:rPr>
          <w:vanish w:val="false"/>
          <w:sz w:val="24"/>
          <w:rFonts w:ascii="Times New Roman" w:hAnsi="Times New Roman"/>
        </w:rPr>
        <w:fldChar w:fldCharType="begin"/>
        <w:instrText xml:space="preserve">X {"Y":27}</w:instrText>
        <w:fldChar w:fldCharType="separate"/>
        <w:t xml:space="preserve">Lizing obyektini yetkazib berish muddati</w:t>
      </w:r>
      <w:r>
        <w:rPr>
          <w:vanish w:val="false"/>
          <w:sz w:val="24"/>
          <w:rFonts w:ascii="Times New Roman" w:hAnsi="Times New Roman"/>
        </w:rPr>
        <w:fldChar w:fldCharType="end"/>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Yetkazib berish joyi (manzili) </w:t>
      </w:r>
      <w:r>
        <w:rPr>
          <w:vanish w:val="false"/>
          <w:sz w:val="24"/>
          <w:rFonts w:ascii="Times New Roman" w:hAnsi="Times New Roman"/>
        </w:rPr>
        <w:fldChar w:fldCharType="begin"/>
        <w:instrText xml:space="preserve">X {"Y":28}</w:instrText>
        <w:fldChar w:fldCharType="separate"/>
        <w:t xml:space="preserve">Lizing obyektini yetkazib berish manzili</w:t>
      </w:r>
      <w:r>
        <w:rPr>
          <w:vanish w:val="false"/>
          <w:sz w:val="24"/>
          <w:rFonts w:ascii="Times New Roman" w:hAnsi="Times New Roman"/>
        </w:rPr>
        <w:fldChar w:fldCharType="end"/>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1.2. Lizing oluvchi Lizing obyektidan ijara muddati davomida foydalanish huquqini oladi, lekin ushbu shartnoma yuzasidan oʻzining huquq va majburiyatlarini boshqa shaxsga lizing beruvchining roziligisiz oʻtkazishiga yoʻl qoʻyilmaydi.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1.3. Lizing beruvchi mazkur shartnoma yuzasidan oʻzining huquq va majburiyatlarini lizing oluvchining roziligisiz boshqa shaxsga, bu haqda uni xabardor qilgan holda oʻtkazishga haqli.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1.4. Ushbu shartnoma bir xil kuchga ega boʻlgan 2 nusxada tuzilgan boʻlib, taraflar uchun bajarilishi majburiydir.</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684"/>
        <w:gridCol w:w="2546"/>
      </w:tblGrid>
      <w:tr>
        <w:tc>
          <w:tcPr>
            <w:tcW w:w="3115" w:type="dxa"/>
          </w:tcPr>
          <w:p>
            <w:pPr>
              <w:pStyle w:val="a3"/>
              <w:jc w:val="center"/>
              <w:ind w:left="0"/>
              <w:spacing w:line="288" w:lineRule="auto"/>
              <w:rPr>
                <w:b/>
                <w:sz w:val="24"/>
                <w:rFonts w:ascii="Times New Roman" w:hAnsi="Times New Roman"/>
              </w:rPr>
            </w:pPr>
          </w:p>
        </w:tc>
        <w:tc>
          <w:tcPr>
            <w:tcW w:w="3684" w:type="dxa"/>
          </w:tcPr>
          <w:p>
            <w:pPr>
              <w:pStyle w:val="a3"/>
              <w:ind w:left="0"/>
              <w:spacing w:line="288" w:lineRule="auto"/>
              <w:rPr>
                <w:b/>
                <w:rFonts w:ascii="Times New Roman" w:hAnsi="Times New Roman"/>
              </w:rPr>
            </w:pPr>
          </w:p>
          <w:p>
            <w:pPr>
              <w:pStyle w:val="a3"/>
              <w:ind w:left="0"/>
              <w:spacing w:line="288" w:lineRule="auto"/>
              <w:rPr>
                <w:b/>
                <w:rFonts w:ascii="Times New Roman" w:hAnsi="Times New Roman"/>
              </w:rPr>
            </w:pPr>
            <w:r>
              <w:rPr>
                <w:b/>
                <w:rFonts w:ascii="Times New Roman" w:hAnsi="Times New Roman"/>
              </w:rPr>
              <w:t xml:space="preserve">2. IJARA HAQI MIQDORI</w:t>
            </w:r>
          </w:p>
        </w:tc>
        <w:tc>
          <w:tcPr>
            <w:tcW w:w="2546" w:type="dxa"/>
          </w:tcPr>
          <w:p>
            <w:pPr>
              <w:pStyle w:val="a3"/>
              <w:jc w:val="center"/>
              <w:ind w:left="0"/>
              <w:spacing w:line="288" w:lineRule="auto"/>
              <w:rPr>
                <w:b/>
                <w:sz w:val="24"/>
                <w:rFonts w:ascii="Times New Roman" w:hAnsi="Times New Roman"/>
              </w:rPr>
            </w:pPr>
          </w:p>
        </w:tc>
      </w:tr>
    </w:tbl>
    <w:p>
      <w:pPr>
        <w:pStyle w:val="a3"/>
        <w:jc w:val="both"/>
        <w:ind w:left="0" w:firstLine="425"/>
        <w:spacing w:after="0" w:line="288" w:lineRule="auto"/>
        <w:rPr>
          <w:sz w:val="24"/>
          <w:rFonts w:ascii="Times New Roman" w:hAnsi="Times New Roman"/>
        </w:rPr>
      </w:pP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2.1. Lizing oluvchi har oyda Lizing beruvchiga quyidagilarni toʻlab boradi: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 Lizing obyekti uchun oylik toʻlov </w:t>
      </w:r>
      <w:r>
        <w:rPr>
          <w:vanish w:val="false"/>
          <w:sz w:val="24"/>
          <w:rFonts w:ascii="Times New Roman" w:hAnsi="Times New Roman"/>
        </w:rPr>
        <w:fldChar w:fldCharType="begin"/>
        <w:instrText xml:space="preserve">X {"Y":29}</w:instrText>
        <w:fldChar w:fldCharType="separate"/>
        <w:t xml:space="preserve">Lizing obeʼkti uchun oylik ijara to‘lovi miqdori</w:t>
      </w:r>
      <w:r>
        <w:rPr>
          <w:vanish w:val="false"/>
          <w:sz w:val="24"/>
          <w:rFonts w:ascii="Times New Roman" w:hAnsi="Times New Roman"/>
        </w:rPr>
        <w:fldChar w:fldCharType="end"/>
      </w:r>
      <w:r>
        <w:rPr>
          <w:sz w:val="24"/>
          <w:rFonts w:ascii="Times New Roman" w:hAnsi="Times New Roman"/>
        </w:rPr>
        <w:t xml:space="preserve"> soʻm miqdorda;</w:t>
      </w:r>
    </w:p>
    <w:p>
      <w:pPr>
        <w:pStyle w:val="a3"/>
        <w:jc w:val="both"/>
        <w:ind w:left="0" w:firstLine="425"/>
        <w:spacing w:after="0" w:line="288" w:lineRule="auto"/>
        <w:rPr>
          <w:sz w:val="24"/>
          <w:rFonts w:ascii="Times New Roman" w:hAnsi="Times New Roman"/>
        </w:rPr>
      </w:pPr>
      <w:r>
        <w:rPr>
          <w:sz w:val="24"/>
          <w:rFonts w:ascii="Times New Roman" w:hAnsi="Times New Roman"/>
        </w:rPr>
        <w:t>b)</w:t>
        <w:tab/>
        <w:t xml:space="preserve">Lizing obyektining</w:t>
        <w:tab/>
        <w:t xml:space="preserve"> tasodifan nobud boʻlishi, shikastlanishi yoki yoʻqolishi xavf-tahlikasi uchun ijara haqi umumiy miqdorining foizi miqdorida komission taqdirlash puli sifatida yillik toʻlovlarni;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2.2. Lizing obyekti uchun toʻlov amalga oshiriladigan davr boshlanmasdan turib, </w:t>
      </w:r>
      <w:r>
        <w:rPr>
          <w:vanish w:val="false"/>
          <w:sz w:val="24"/>
          <w:rFonts w:ascii="Times New Roman" w:hAnsi="Times New Roman"/>
        </w:rPr>
        <w:fldChar w:fldCharType="begin"/>
        <w:instrText xml:space="preserve">X {"Y":30}</w:instrText>
        <w:fldChar w:fldCharType="separate"/>
        <w:t xml:space="preserve">Ijara to‘lovining avans miqdori</w:t>
      </w:r>
      <w:r>
        <w:rPr>
          <w:vanish w:val="false"/>
          <w:sz w:val="24"/>
          <w:rFonts w:ascii="Times New Roman" w:hAnsi="Times New Roman"/>
        </w:rPr>
        <w:fldChar w:fldCharType="end"/>
      </w:r>
      <w:r>
        <w:rPr>
          <w:sz w:val="24"/>
          <w:rFonts w:ascii="Times New Roman" w:hAnsi="Times New Roman"/>
        </w:rPr>
        <w:t xml:space="preserve"> soʻm miqdorda avans tariqasida toʻlanadi.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Toʻlash muddati kechiktirilgan taqdirda, Lizing oluvchi har bir kechiktirilgan kun uchun toʻlovi kechiktirilgan summaning </w:t>
      </w:r>
      <w:r>
        <w:rPr>
          <w:vanish w:val="false"/>
          <w:sz w:val="24"/>
          <w:rFonts w:ascii="Times New Roman" w:hAnsi="Times New Roman"/>
        </w:rPr>
        <w:fldChar w:fldCharType="begin"/>
        <w:instrText xml:space="preserve">X {"Y":31}</w:instrText>
        <w:fldChar w:fldCharType="separate"/>
        <w:t xml:space="preserve">Lizing obeʼkti uchun oylik ijara to‘lovi kechikkanda to‘lanadigan kunlik penya miqdori</w:t>
      </w:r>
      <w:r>
        <w:rPr>
          <w:vanish w:val="false"/>
          <w:sz w:val="24"/>
          <w:rFonts w:ascii="Times New Roman" w:hAnsi="Times New Roman"/>
        </w:rPr>
        <w:fldChar w:fldCharType="end"/>
      </w:r>
      <w:r>
        <w:rPr>
          <w:sz w:val="24"/>
          <w:rFonts w:ascii="Times New Roman" w:hAnsi="Times New Roman"/>
        </w:rPr>
        <w:t xml:space="preserve"> foizi miqdorida penya toʻlaydi.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2.3. Komission taqdirlash puli ushbu shartnoma imzolangan paytdan boshlab, ushbu shartnoma bilan belgilangan barcha toʻlovlar Lizing beruvchiga toʻlab boʻlingan paytgacha hisoblanadi.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79"/>
        <w:gridCol w:w="8788"/>
        <w:gridCol w:w="278"/>
      </w:tblGrid>
      <w:tr>
        <w:tc>
          <w:tcPr>
            <w:tcW w:w="279" w:type="dxa"/>
          </w:tcPr>
          <w:p>
            <w:pPr>
              <w:pStyle w:val="a3"/>
              <w:jc w:val="both"/>
              <w:ind w:left="0"/>
              <w:spacing w:line="288" w:lineRule="auto"/>
              <w:rPr>
                <w:sz w:val="24"/>
                <w:rFonts w:ascii="Times New Roman" w:hAnsi="Times New Roman"/>
              </w:rPr>
            </w:pPr>
          </w:p>
        </w:tc>
        <w:tc>
          <w:tcPr>
            <w:tcW w:w="8788" w:type="dxa"/>
          </w:tcPr>
          <w:p>
            <w:pPr>
              <w:pStyle w:val="a3"/>
              <w:jc w:val="center"/>
              <w:ind w:left="0"/>
              <w:spacing w:line="288" w:lineRule="auto"/>
              <w:rPr>
                <w:b/>
                <w:rFonts w:ascii="Times New Roman" w:hAnsi="Times New Roman"/>
              </w:rPr>
            </w:pPr>
          </w:p>
          <w:p>
            <w:pPr>
              <w:pStyle w:val="a3"/>
              <w:jc w:val="center"/>
              <w:ind w:left="0"/>
              <w:spacing w:line="288" w:lineRule="auto"/>
              <w:rPr>
                <w:b/>
                <w:rFonts w:ascii="Times New Roman" w:hAnsi="Times New Roman"/>
              </w:rPr>
            </w:pPr>
            <w:r>
              <w:rPr>
                <w:b/>
                <w:rFonts w:ascii="Times New Roman" w:hAnsi="Times New Roman"/>
              </w:rPr>
              <w:t xml:space="preserve">3. LIZING OBYEKTINI YETKAZIB BERISH VA QABUL QILISH TARTIBI</w:t>
            </w:r>
          </w:p>
        </w:tc>
        <w:tc>
          <w:tcPr>
            <w:tcW w:w="278" w:type="dxa"/>
          </w:tcPr>
          <w:p>
            <w:pPr>
              <w:pStyle w:val="a3"/>
              <w:jc w:val="both"/>
              <w:ind w:left="0"/>
              <w:spacing w:line="288" w:lineRule="auto"/>
              <w:rPr>
                <w:sz w:val="24"/>
                <w:rFonts w:ascii="Times New Roman" w:hAnsi="Times New Roman"/>
              </w:rPr>
            </w:pPr>
          </w:p>
        </w:tc>
      </w:tr>
    </w:tbl>
    <w:p>
      <w:pPr>
        <w:pStyle w:val="a3"/>
        <w:jc w:val="both"/>
        <w:ind w:left="0" w:firstLine="425"/>
        <w:spacing w:after="0" w:line="288" w:lineRule="auto"/>
        <w:rPr>
          <w:sz w:val="24"/>
          <w:rFonts w:ascii="Times New Roman" w:hAnsi="Times New Roman"/>
        </w:rPr>
      </w:pPr>
    </w:p>
    <w:p>
      <w:pPr>
        <w:pStyle w:val="a3"/>
        <w:jc w:val="both"/>
        <w:ind w:left="0" w:firstLine="425"/>
        <w:spacing w:after="0" w:line="288" w:lineRule="auto"/>
        <w:rPr>
          <w:color w:val="ff0000"/>
          <w:sz w:val="24"/>
          <w:rFonts w:ascii="Times New Roman" w:hAnsi="Times New Roman"/>
        </w:rPr>
      </w:pPr>
      <w:r>
        <w:rPr>
          <w:sz w:val="24"/>
          <w:rFonts w:ascii="Times New Roman" w:hAnsi="Times New Roman"/>
        </w:rPr>
        <w:t xml:space="preserve">3.1. Lizing obyektini belgilangan manzilga tashib keltirish, montaj qilish (yigʻish) va foydalanishga topshirish yuzasidan barcha xarajatlar </w:t>
      </w:r>
      <w:r>
        <w:rPr>
          <w:vanish w:val="false"/>
          <w:sz w:val="24"/>
          <w:rFonts w:ascii="Times New Roman" w:hAnsi="Times New Roman"/>
        </w:rPr>
        <w:fldChar w:fldCharType="begin"/>
        <w:instrText xml:space="preserve">X {"Y":32}</w:instrText>
        <w:fldChar w:fldCharType="separate"/>
        <w:t xml:space="preserve">Lizing obyektini belgilangan manzilga tashib keltirish, montaj qilish (yig‘ish) va foydalanishga topshirish bilan bog‘liq xarajatlarni qoplab beruvchi taraf</w:t>
      </w:r>
      <w:r>
        <w:rPr>
          <w:vanish w:val="false"/>
          <w:sz w:val="24"/>
          <w:rFonts w:ascii="Times New Roman" w:hAnsi="Times New Roman"/>
        </w:rPr>
        <w:fldChar w:fldCharType="end"/>
      </w:r>
      <w:r>
        <w:rPr>
          <w:color w:val="ff0000"/>
          <w:sz w:val="24"/>
          <w:rFonts w:ascii="Times New Roman" w:hAnsi="Times New Roman"/>
        </w:rPr>
        <w:t xml:space="preserve"> </w:t>
      </w:r>
      <w:r>
        <w:rPr>
          <w:sz w:val="24"/>
          <w:rFonts w:ascii="Times New Roman" w:hAnsi="Times New Roman"/>
        </w:rPr>
        <w:t xml:space="preserve">hisobidan amalga oshiriladi.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3.2. Lizing obeʼkti belgilangan manzilga yetkazib berilgandan soʻng Lizing oluvchi ushbu shartnoma bilan belgilangan muddatda uni koʻzdan kechirishi va Lizing beruvchiga qabul qilish dalolatnomasini taqdim etishi lozim.</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3.3. Lizing obyektining normal ishlashini istisno etuvchi bartaraf etilmagan kamchiliklarning mavjudligi sababli Lizing oluvchi ularni qabul qilishdan bosh tortgan taqdirda, u bu haqda lizing beruvchini kamchiliklar aniqlangan sanadan boshlab </w:t>
      </w:r>
      <w:r>
        <w:rPr>
          <w:vanish w:val="false"/>
          <w:sz w:val="24"/>
          <w:rFonts w:ascii="Times New Roman" w:hAnsi="Times New Roman"/>
        </w:rPr>
        <w:fldChar w:fldCharType="begin"/>
        <w:instrText xml:space="preserve">X {"Y":33}</w:instrText>
        <w:fldChar w:fldCharType="separate"/>
        <w:t xml:space="preserve">Lizing oluvchi tomonidan lizing obyektidagi kamchiliklar aniqlangan taqdirda lizing beruvchini ogohlantirish muddati</w:t>
      </w:r>
      <w:r>
        <w:rPr>
          <w:vanish w:val="false"/>
          <w:sz w:val="24"/>
          <w:rFonts w:ascii="Times New Roman" w:hAnsi="Times New Roman"/>
        </w:rPr>
        <w:fldChar w:fldCharType="end"/>
      </w:r>
      <w:r>
        <w:rPr>
          <w:sz w:val="24"/>
          <w:rFonts w:ascii="Times New Roman" w:hAnsi="Times New Roman"/>
        </w:rPr>
        <w:t xml:space="preserve"> kun ichida aniqlangan kamchiliklarni koʻrsatgan holda yozma ravishda xabardor qilishi lozim. Lizing oluvchining ushbu eʼtiroznomasi “Lizing beruvchi” uchun Lizing obyektini sotib olish shartnomasini bekor qilish haqida “Yetkazib beruvchiga” bildirishnoma berish huquqini beradi.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3.4. Agar Lizing oluvchi, lizing obeʼkti belgilangan manzilga yetkazib berilgandan soʻng ikki haftalik muddat ichida, sabablaridan qatʼi nazar Lizing beruvchiga qabul qilish dalolatnomasini taqdim etmagan va bartaraf etish mumkin boʻlmagan kamchiliklarning mavjudligi haqida bildirmagan boʻlsa, lizing obeʼkti qabul qilingan deb hisoblanadi.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3.5. Lizing oluvchi lizing obyektiga Yetkazib beruvchi tomonidan berilgan kafolatdan foydalanadi.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Lizing beruvchi oʻzining Yetkazib beruvchiga lizing obyektining nosozligi, lizing obeʼkti oʻz vaqtida va butlangan holda yetkazib berilmaganligi, uni oʻrnatish (yigʻish, montaj qilish) boʻyicha majburiyatlarning bajarilmaganligi yuzasidan talabnomalar bildirish huquqini Lizing oluvchiga topshiradi.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838"/>
        <w:gridCol w:w="6662"/>
        <w:gridCol w:w="845"/>
      </w:tblGrid>
      <w:tr>
        <w:tc>
          <w:tcPr>
            <w:tcW w:w="1838" w:type="dxa"/>
          </w:tcPr>
          <w:p>
            <w:pPr>
              <w:pStyle w:val="a3"/>
              <w:jc w:val="center"/>
              <w:ind w:left="0"/>
              <w:spacing w:line="288" w:lineRule="auto"/>
              <w:rPr>
                <w:b/>
                <w:rFonts w:ascii="Times New Roman" w:hAnsi="Times New Roman"/>
              </w:rPr>
            </w:pPr>
          </w:p>
        </w:tc>
        <w:tc>
          <w:tcPr>
            <w:tcW w:w="6662" w:type="dxa"/>
            <w:vAlign w:val="bottom"/>
          </w:tcPr>
          <w:p>
            <w:pPr>
              <w:pStyle w:val="a3"/>
              <w:jc w:val="center"/>
              <w:ind w:left="0" w:firstLine="425"/>
              <w:spacing w:line="288" w:lineRule="auto"/>
              <w:rPr>
                <w:b/>
                <w:rFonts w:ascii="Times New Roman" w:hAnsi="Times New Roman"/>
              </w:rPr>
            </w:pPr>
          </w:p>
          <w:p>
            <w:pPr>
              <w:pStyle w:val="a3"/>
              <w:jc w:val="center"/>
              <w:ind w:left="0" w:firstLine="425"/>
              <w:spacing w:line="288" w:lineRule="auto"/>
              <w:rPr>
                <w:b/>
                <w:rFonts w:ascii="Times New Roman" w:hAnsi="Times New Roman"/>
              </w:rPr>
            </w:pPr>
            <w:r>
              <w:rPr>
                <w:b/>
                <w:rFonts w:ascii="Times New Roman" w:hAnsi="Times New Roman"/>
              </w:rPr>
              <w:t xml:space="preserve">4. TARAFLARNING HUQUQ VA MAJBURIYATLARI</w:t>
            </w:r>
          </w:p>
        </w:tc>
        <w:tc>
          <w:tcPr>
            <w:tcW w:w="845" w:type="dxa"/>
          </w:tcPr>
          <w:p>
            <w:pPr>
              <w:pStyle w:val="a3"/>
              <w:jc w:val="center"/>
              <w:ind w:left="0"/>
              <w:spacing w:line="288" w:lineRule="auto"/>
              <w:rPr>
                <w:b/>
                <w:rFonts w:ascii="Times New Roman" w:hAnsi="Times New Roman"/>
              </w:rPr>
            </w:pPr>
          </w:p>
        </w:tc>
      </w:tr>
    </w:tbl>
    <w:p>
      <w:pPr>
        <w:pStyle w:val="a3"/>
        <w:jc w:val="center"/>
        <w:ind w:left="0" w:firstLine="425"/>
        <w:spacing w:after="0" w:line="288" w:lineRule="auto"/>
        <w:rPr>
          <w:b/>
          <w:rFonts w:ascii="Times New Roman" w:hAnsi="Times New Roman"/>
        </w:rPr>
      </w:pP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4.1. Lizing beruvchi quyidagi huquqlarga egadir:</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 lizing oluvchining lizing obyektidan qanday sharoitlarda foydalanayotganligini va uni belgilangan maqsadiga muvofiq ishlatayotganligini lizing shartnomasi shartlariga hamda qonunchilik hujjatlari talablariga muvofiq nazorat qilish;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b) lizing oluvchining roziligi bilan lizing obyekti va uning sotuvchisini tanlash;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v) qonunchilik hujjatlarida yoki lizing shartnomasida nazarda tutilgan hollarda va tartibda lizing oluvchidan lizing obyektini talab qilib olish;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g) lizing oluvchi tomonidan oʻz majburiyatlarining jiddiy ravishda buzilishiga yoʻl qoʻyilgan taqdirda, agar lizing shartnomasida boshqacha tartib nazarda tutilgan boʻlmasa, kelgusi lizing toʻlovlarini toʻlashni tezlashtirishni yoki garov narsasini undirish uchun nazarda tutilgan tartibda undiruvni lizing obyektiga qaratgan va zararni undirgan holda shartnomani bekor qilishni talab etish.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Agar lizing obyekti lizing beruvchining aybi bilan yetkazib berilmagan boʻlsa yoki lizing shartnomasi shartlariga nomuvofiq boʻlsa, lizing beruvchi lizing oluvchining roziligi bilan oʻzi lozim darajada bajarmagan lizing shartnomasi shartlarini tuzatib bajarishga yoki lizing oluvchiga boshqa lizing obyektini taklif etishga haqli.</w:t>
      </w:r>
    </w:p>
    <w:p>
      <w:pPr>
        <w:pStyle w:val="a3"/>
        <w:jc w:val="both"/>
        <w:ind w:left="0"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{"Y":34}</w:instrText>
        <w:fldChar w:fldCharType="separate"/>
        <w:t xml:space="preserve">Lizing beruvchining shartnomada nazarda tutilganidan boshqa huquqlari</w:t>
      </w:r>
      <w:r>
        <w:rPr>
          <w:vanish w:val="false"/>
          <w:sz w:val="24"/>
          <w:rFonts w:ascii="Times New Roman" w:hAnsi="Times New Roman"/>
        </w:rPr>
        <w:fldChar w:fldCharType="end"/>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4.2. Lizing beruvchi: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 lizing shartnomasi boʻyicha mol-mulkni olishi va uni lizing oluvchiga egalik qilish hamda foydalanish uchun berishi;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b) lizing oluvchi uchun mol-mulk olayotganda mol-mulk muayyan shaxsga lizingga berishga moʻljallanganligini sotuvchiga maʼlum qilishi;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v) lizing obyektini, agar shartnomada shunday shartlar nazarda tutilgan boʻlsa, saqlab turish, taʼmirlash va unga texnik xizmat koʻrsatish boʻyicha lizing oluvchi oldida oʻz zimmasiga olingan majburiyatlarni oʻz vaqtida va toʻliq hajmda bajarishi shart.</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Lizing beruvchi qonun hujjatlarida belgilangan boshqa huquqlarga ega boʻlishi va oʻzga mujburiyatlarni bajarishi mumkin.</w:t>
      </w:r>
    </w:p>
    <w:p>
      <w:pPr>
        <w:pStyle w:val="a3"/>
        <w:jc w:val="both"/>
        <w:ind w:left="0"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{"Y":35}</w:instrText>
        <w:fldChar w:fldCharType="separate"/>
        <w:t xml:space="preserve">Lizing beruvchining shartnomada nazarda tutilganidan boshqa majburiyatlari</w:t>
      </w:r>
      <w:r>
        <w:rPr>
          <w:vanish w:val="false"/>
          <w:sz w:val="24"/>
          <w:rFonts w:ascii="Times New Roman" w:hAnsi="Times New Roman"/>
        </w:rPr>
        <w:fldChar w:fldCharType="end"/>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4.3. Lizing oluvchi quyidagi huquqlarga ega: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 lizing obyektini mustaqil aniqlash va sotuvchini tanlash;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b) lizing beruvchidan lizing shartnomasini bajarmaganlik yoki lozim darajada bajarmaganlik tufayli yetkazilgan zarar qoplanishini talab qilish;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v) sotuvchiga lizing obyekti oldi-sotdi shartnomasidan kelib chiquvchi talablarni, jumladan uning sifati va butligi, topshirish muddati, kafolatli taʼmirlashi va hokazolar xususida talablar qoʻyish;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g) lizing obyekti yetkazib berilmagan, toʻliq yetkazib berilmagan, yetkazib berish muddati oʻtkazib yuborilgan yoki sifati talab darajasida boʻlmagan lizing obyekti yetkazib berilgan takdirda, agar shartnomada boshqacha qoida nazarda tutilgan boʻlmasa, lizing toʻlovlari toʻlashni kechiktirish, yetkazib beriladigan lizing obyektidan voz kechish va lizing shartnomasining bekor qilinishini talab etish;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d) lizing shartnomasi muddatidan oldin bekor qilingan takdirda, oʻzi ilgari avans sifatida toʻlagan toʻlovlarni lizing obyektidan foydalanishdan olingan foydaning qiymatini chegirib tashlagan holda, qaytarib berishni talab qilish.</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 Uchinchi shaxs undiruvni lizing obyektiga qaratganda lizing oluvchi lizing shartnomasini bekor qilish va lizing obyektini mulk qilib olish bilan bir paytda lizing shartnomasi boʻyicha tegishli lizing toʻlovlari qoldigʻini lizing beruvchining qolgan davrda oladigan daromadini chegirib tashlagan holda bir yoʻla toʻlashga haqli.</w:t>
      </w:r>
    </w:p>
    <w:p>
      <w:pPr>
        <w:pStyle w:val="a3"/>
        <w:jc w:val="both"/>
        <w:ind w:left="0"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{"Y":36}</w:instrText>
        <w:fldChar w:fldCharType="separate"/>
        <w:t xml:space="preserve">Lizing oluvchining shartnomada nazarda tutilganidan boshqa huquqlari</w:t>
      </w:r>
      <w:r>
        <w:rPr>
          <w:vanish w:val="false"/>
          <w:sz w:val="24"/>
          <w:rFonts w:ascii="Times New Roman" w:hAnsi="Times New Roman"/>
        </w:rPr>
        <w:fldChar w:fldCharType="end"/>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4.4. Lizing oluvchi: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 lizing obyektini qabul qilib olishi va undan lozim darajada foydalanishi, uni shartnoma shartlariga muvofiq saqlab turishi;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b) lizing toʻlovlarini oʻz vaqtida toʻlab turishi, agar lizing shartnomasida boshqacha tartib belgilanmagan boʻlsa, lizing obyektini oʻz hisobidan joriy taʼmirlashi, uni saqlab turishga doir boshqa xarajatlar qilishi shart.</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Lizing shartnomasi bekor qilinganda lizing oluvchi lizing obyektini lizing beruvchidan qanday holatda olgan boʻlsa, shunday holatda, normal eskirish va taraflarning kelishuvida shartlashilgan oʻzgarishlarni hisobga olgan holda qaytarishi shart.</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Lizing oluvchining lizing obyektini taʼmirlash va unga texnik xizmat koʻrsatishga doir huquqi va majburiyati sotuvchi bilan alohida tuzilgan shartnomada belgilanishi mumkin.</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Lizing oluvchi qonunchilik hujjatlarida belgilangan boshqa huquqlarga ega boʻlishi va oʻzga majburiyatlarni bajarishi mumkin.</w:t>
      </w:r>
    </w:p>
    <w:p>
      <w:pPr>
        <w:pStyle w:val="a3"/>
        <w:jc w:val="both"/>
        <w:ind w:left="0"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{"Y":37}</w:instrText>
        <w:fldChar w:fldCharType="separate"/>
        <w:t xml:space="preserve">Lizing oluvchining shartnomada nazarda tutilganidan boshqa majburiyatlari</w:t>
      </w:r>
      <w:r>
        <w:rPr>
          <w:vanish w:val="false"/>
          <w:sz w:val="24"/>
          <w:rFonts w:ascii="Times New Roman" w:hAnsi="Times New Roman"/>
        </w:rPr>
        <w:fldChar w:fldCharType="end"/>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129"/>
        <w:gridCol w:w="7088"/>
        <w:gridCol w:w="1128"/>
      </w:tblGrid>
      <w:tr>
        <w:tc>
          <w:tcPr>
            <w:tcW w:w="1129" w:type="dxa"/>
          </w:tcPr>
          <w:p>
            <w:pPr>
              <w:pStyle w:val="a3"/>
              <w:jc w:val="both"/>
              <w:ind w:left="0"/>
              <w:spacing w:line="288" w:lineRule="auto"/>
              <w:rPr>
                <w:sz w:val="24"/>
                <w:rFonts w:ascii="Times New Roman" w:hAnsi="Times New Roman"/>
              </w:rPr>
            </w:pPr>
          </w:p>
        </w:tc>
        <w:tc>
          <w:tcPr>
            <w:tcW w:w="7088" w:type="dxa"/>
          </w:tcPr>
          <w:p>
            <w:pPr>
              <w:pStyle w:val="a3"/>
              <w:jc w:val="center"/>
              <w:ind w:left="0" w:firstLine="425"/>
              <w:spacing w:line="288" w:lineRule="auto"/>
              <w:rPr>
                <w:b/>
                <w:rFonts w:ascii="Times New Roman" w:hAnsi="Times New Roman"/>
              </w:rPr>
            </w:pPr>
          </w:p>
          <w:p>
            <w:pPr>
              <w:pStyle w:val="a3"/>
              <w:jc w:val="center"/>
              <w:ind w:left="0" w:firstLine="425"/>
              <w:spacing w:line="288" w:lineRule="auto"/>
              <w:rPr>
                <w:b/>
                <w:rFonts w:ascii="Times New Roman" w:hAnsi="Times New Roman"/>
              </w:rPr>
            </w:pPr>
            <w:r>
              <w:rPr>
                <w:b/>
                <w:rFonts w:ascii="Times New Roman" w:hAnsi="Times New Roman"/>
              </w:rPr>
              <w:t xml:space="preserve">5. SHARTNOMANI BEKOR QILISH SHARTLARI </w:t>
            </w:r>
          </w:p>
        </w:tc>
        <w:tc>
          <w:tcPr>
            <w:tcW w:w="1128" w:type="dxa"/>
          </w:tcPr>
          <w:p>
            <w:pPr>
              <w:pStyle w:val="a3"/>
              <w:jc w:val="both"/>
              <w:ind w:left="0"/>
              <w:spacing w:line="288" w:lineRule="auto"/>
              <w:rPr>
                <w:sz w:val="24"/>
                <w:rFonts w:ascii="Times New Roman" w:hAnsi="Times New Roman"/>
              </w:rPr>
            </w:pPr>
          </w:p>
        </w:tc>
      </w:tr>
    </w:tbl>
    <w:p>
      <w:pPr>
        <w:jc w:val="both"/>
        <w:spacing w:after="0" w:line="288" w:lineRule="auto"/>
        <w:rPr>
          <w:sz w:val="24"/>
          <w:rFonts w:ascii="Times New Roman" w:hAnsi="Times New Roman"/>
        </w:rPr>
      </w:pP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5.1. Ushbu shartnomaning amal qilish muddati tugashi bilan shartnoma bekor boʻlgan hisoblanadi.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5.2. Lizing beruvchi ushbu shartnomani zudlik bilan bekor qilish haqida quyidagi hollarda bildirishnoma berishga haqli: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a) lizing obyektining oldi-sotdi shartnomasi kuchga kirmagan boʻlsa yoki lizing obeʼkti Lizing oluvchiga yetkazib berilgunga qadar uning sabablaridan qatʼi nazar bekor qilingan boʻlsa;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b) Yetkazib beruvchi sabablaridan qatʼi nazar lizing obyektini yetkazib berish imkoniyatiga ega boʻlmasa;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Bu hollarda shartnoma bekor qilinganda Lizing oluvchi va Lizing beruvchi ushbu shartnomaga muvofiq oʻzaro majburiyatlardan ozod qilinadilar.</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v) Lizing oluvchi ushbu shartnoma bilan nazarda tutilgan toʻlovlarni amalga oshirish yuzasidan majburiyatlarini 3 haftadan oshiq muddat davomidan bajarmasdan kelsa;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g) Lizing oluvchi toʻlovni amalga oshirish talabi qoʻyilgandan keyin 2 hafta davomida barcha qarzlarni (jumladan toʻlovni kechiktirganlik uchun penyani) toʻliq toʻlab bermasa;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d) Lizing oluvchi ushbu shartnoma bilan nazarda tutilgan boshqa majburiyatlarga amal qilish boʻyicha talablarni qanoatlantirmasa, lizing obyektidan ushbu shartnoma shartlarini buzgan holda foydalansa;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ye) lizing obeʼkti Yetkazib beruvchi tomonidan yetkazib berilgandan soʻng Lizing oluvchi javobgar boʻladigan sabablarga koʻra lizing obyektining oldi-sotdi shartnomasi bekor qilinsa;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j) ushbu shartnomaning amal qilish muddati davomida Lizing oluvchining korxonasi tugatilsa.</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Mazkur bandning “v” va “j” kichik bandlarida nazarda tutilgan shartlar mavjud boʻlgan holda, Lizing oluvchi shartnomani qoplash summasini yuqorida qayd etilgan shartlar asosida toʻlashi lozim.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5.3. Lizing oluvchi lizing obyektini qabul qilish vaqtida uning normal ishlashini istisno etadigan va bartaraf etish imkoniyati boʻlmagan kamchiliklarni aniqlagan taqdirda ushbu shartnomani bekor qilish huquqiga ega. Ushbu shartnomani bekor qilish haqida Lizing oluvchi lizing obyektini yetkazib berish muddati tugagan sanadan boshlab 10 kundan kechiktirmay yozma ravishda Lizing beruvchini xabardor qilishi lozim.</w:t>
      </w:r>
    </w:p>
    <w:p>
      <w:pPr>
        <w:pStyle w:val="a3"/>
        <w:jc w:val="both"/>
        <w:ind w:left="0" w:firstLine="425"/>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79"/>
        <w:gridCol w:w="8788"/>
        <w:gridCol w:w="278"/>
      </w:tblGrid>
      <w:tr>
        <w:tc>
          <w:tcPr>
            <w:tcW w:w="279" w:type="dxa"/>
          </w:tcPr>
          <w:p>
            <w:pPr>
              <w:pStyle w:val="a3"/>
              <w:jc w:val="both"/>
              <w:ind w:left="0"/>
              <w:spacing w:line="288" w:lineRule="auto"/>
              <w:rPr>
                <w:b/>
                <w:sz w:val="24"/>
                <w:rFonts w:ascii="Times New Roman" w:hAnsi="Times New Roman"/>
              </w:rPr>
            </w:pPr>
          </w:p>
        </w:tc>
        <w:tc>
          <w:tcPr>
            <w:tcW w:w="8788" w:type="dxa"/>
          </w:tcPr>
          <w:p>
            <w:pPr>
              <w:jc w:val="both"/>
              <w:spacing w:line="288" w:lineRule="auto"/>
              <w:rPr>
                <w:b/>
                <w:rFonts w:ascii="Times New Roman" w:hAnsi="Times New Roman"/>
              </w:rPr>
            </w:pPr>
            <w:r>
              <w:rPr>
                <w:b/>
                <w:rFonts w:ascii="Times New Roman" w:hAnsi="Times New Roman"/>
              </w:rPr>
              <w:t xml:space="preserve">6. SHARTNOMA BEKOR QILINGANDAN KEYINGI HARAKATLAR TARTIBI </w:t>
            </w:r>
          </w:p>
        </w:tc>
        <w:tc>
          <w:tcPr>
            <w:tcW w:w="278" w:type="dxa"/>
          </w:tcPr>
          <w:p>
            <w:pPr>
              <w:pStyle w:val="a3"/>
              <w:jc w:val="both"/>
              <w:ind w:left="0"/>
              <w:spacing w:line="288" w:lineRule="auto"/>
              <w:rPr>
                <w:b/>
                <w:sz w:val="24"/>
                <w:rFonts w:ascii="Times New Roman" w:hAnsi="Times New Roman"/>
              </w:rPr>
            </w:pPr>
          </w:p>
        </w:tc>
      </w:tr>
    </w:tbl>
    <w:p>
      <w:pPr>
        <w:jc w:val="both"/>
        <w:spacing w:after="0" w:line="288" w:lineRule="auto"/>
        <w:rPr>
          <w:sz w:val="24"/>
          <w:rFonts w:ascii="Times New Roman" w:hAnsi="Times New Roman"/>
        </w:rPr>
      </w:pP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6.1. Shartnomani bekor qilish haqida bildirishnoma olgan Lizing oluvchi lizing obyektidan foydalanish huquqidan mahrum boʻladi.</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6.2. Agar Lizing oluvchi shartnomani qoplash summasini toʻlamagan yoki ushbu shartnoma bilan nazarda tutilgan boshqa toʻlovlarni amalga oshirmagan boʻlsa, Lizing oluvchi Lizing beruvchidan talabnomani olgan sanadan boshlab 4 haftalik muddat ichida Lizing beruvchi tomonidan koʻrsatilgan manzilga lizing obyektini joʻnatishi lozim.</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Lizing obyektini joʻnatish va tashish boʻyicha barcha tahlika va xarajatlar Lizing oluvchiga yuklatiladi. Agar, mazkur shartga qaramasdan, Lizing oluvchi lizing obyektini joʻnatish choralarini koʻrmasa, Lizing beruvchi lizing obyektiga egalik qilish huquqiga kirishish va Lizing oluvchi hisobidan oʻz bilganicha tashib ketish choralarini koʻrishga haqli. Bu holda tashish bilan bogʻliq barcha xavf-tahlikalar uchun javobgarlik Lizing oluvchiga yuklatiladi.</w:t>
      </w:r>
    </w:p>
    <w:p>
      <w:pPr>
        <w:pStyle w:val="a3"/>
        <w:jc w:val="both"/>
        <w:ind w:left="0" w:firstLine="425"/>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62"/>
        <w:gridCol w:w="8222"/>
        <w:gridCol w:w="561"/>
      </w:tblGrid>
      <w:tr>
        <w:tc>
          <w:tcPr>
            <w:tcW w:w="562" w:type="dxa"/>
          </w:tcPr>
          <w:p>
            <w:pPr>
              <w:pStyle w:val="a3"/>
              <w:jc w:val="both"/>
              <w:ind w:left="0"/>
              <w:spacing w:line="288" w:lineRule="auto"/>
              <w:rPr>
                <w:sz w:val="24"/>
                <w:rFonts w:ascii="Times New Roman" w:hAnsi="Times New Roman"/>
              </w:rPr>
            </w:pPr>
          </w:p>
        </w:tc>
        <w:tc>
          <w:tcPr>
            <w:tcW w:w="8222" w:type="dxa"/>
          </w:tcPr>
          <w:p>
            <w:pPr>
              <w:pStyle w:val="a3"/>
              <w:jc w:val="both"/>
              <w:ind w:left="0"/>
              <w:spacing w:line="288" w:lineRule="auto"/>
              <w:rPr>
                <w:sz w:val="24"/>
                <w:rFonts w:ascii="Times New Roman" w:hAnsi="Times New Roman"/>
              </w:rPr>
            </w:pPr>
            <w:r>
              <w:rPr>
                <w:b/>
                <w:rFonts w:ascii="Times New Roman" w:hAnsi="Times New Roman"/>
              </w:rPr>
              <w:t xml:space="preserve">7. LIZING OBYEKTINI QAYTARISH BILAN BOGʻLIK MAJBURIYATLAR</w:t>
            </w:r>
          </w:p>
        </w:tc>
        <w:tc>
          <w:tcPr>
            <w:tcW w:w="561" w:type="dxa"/>
          </w:tcPr>
          <w:p>
            <w:pPr>
              <w:pStyle w:val="a3"/>
              <w:jc w:val="both"/>
              <w:ind w:left="0"/>
              <w:spacing w:line="288" w:lineRule="auto"/>
              <w:rPr>
                <w:sz w:val="24"/>
                <w:rFonts w:ascii="Times New Roman" w:hAnsi="Times New Roman"/>
              </w:rPr>
            </w:pPr>
          </w:p>
        </w:tc>
      </w:tr>
    </w:tbl>
    <w:p>
      <w:pPr>
        <w:jc w:val="both"/>
        <w:spacing w:after="0" w:line="288" w:lineRule="auto"/>
        <w:rPr>
          <w:sz w:val="24"/>
          <w:rFonts w:ascii="Times New Roman" w:hAnsi="Times New Roman"/>
        </w:rPr>
      </w:pP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7.1. Agar Lizing oluvchi lizing obyektiga oʻzgartirishlar kiritgan boʻlsa, u Lizing beruvchining talabiga muvofiq va oʻz hisobidan lizing obyektining dastlabki holatini tiklab berishi lozim.</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7.2. Agarda Lizing oluvchi ijara muddati tugagandan soʻng yoki shartnoma bekor qilingandan soʻng lizing obyektini qaytarmasa, undan har bir kechiktirilgan kun uchun lizing obeʼkti qoldiq qiymatining </w:t>
      </w:r>
      <w:r>
        <w:rPr>
          <w:vanish w:val="false"/>
          <w:sz w:val="24"/>
          <w:rFonts w:ascii="Times New Roman" w:hAnsi="Times New Roman"/>
        </w:rPr>
        <w:fldChar w:fldCharType="begin"/>
        <w:instrText xml:space="preserve">X {"Y":38}</w:instrText>
        <w:fldChar w:fldCharType="separate"/>
        <w:t xml:space="preserve">Lizing oluvchi lizing oyektini belgilangan muddatda o‘z qaytarmaganda qaytarilmagan har bir kun uchun to‘lanadigan penya miqdori</w:t>
      </w:r>
      <w:r>
        <w:rPr>
          <w:vanish w:val="false"/>
          <w:sz w:val="24"/>
          <w:rFonts w:ascii="Times New Roman" w:hAnsi="Times New Roman"/>
        </w:rPr>
        <w:fldChar w:fldCharType="end"/>
      </w:r>
      <w:r>
        <w:rPr>
          <w:sz w:val="24"/>
          <w:rFonts w:ascii="Times New Roman" w:hAnsi="Times New Roman"/>
        </w:rPr>
        <w:t xml:space="preserve"> % miqdorida penya Lizing beruvchiga lizing obeʼkti qiymati toʻliq qaytarilgunga qadar undiriladi. </w:t>
      </w:r>
    </w:p>
    <w:p>
      <w:pPr>
        <w:pStyle w:val="a3"/>
        <w:jc w:val="both"/>
        <w:ind w:left="0" w:firstLine="425"/>
        <w:spacing w:after="0" w:line="288" w:lineRule="auto"/>
        <w:rPr>
          <w:sz w:val="24"/>
          <w:rFonts w:ascii="Times New Roman" w:hAnsi="Times New Roman"/>
        </w:rPr>
      </w:pPr>
      <w:r>
        <w:rPr>
          <w:sz w:val="24"/>
          <w:rFonts w:ascii="Times New Roman" w:hAnsi="Times New Roman"/>
        </w:rPr>
        <w:t xml:space="preserve">7.3. Ushbu shartnomada belgilangan ijara muddati tugagandan soʻng Lizing oluvchining lizing obyektidan foydalanishni davom ettirishi, ijara muddatining uzaytirilishi yoki qayta shartnoma tuzilishi sifatida qaralmasligi shart.</w:t>
      </w:r>
    </w:p>
    <w:p>
      <w:pPr>
        <w:pStyle w:val="a3"/>
        <w:jc w:val="center"/>
        <w:ind w:left="0" w:firstLine="425"/>
        <w:spacing w:after="0" w:line="288" w:lineRule="auto"/>
        <w:rPr>
          <w:sz w:val="24"/>
          <w:rFonts w:ascii="Times New Roman" w:hAnsi="Times New Roman"/>
        </w:rPr>
      </w:pPr>
      <w:r>
        <w:rPr>
          <w:b/>
          <w:sz w:val="24"/>
          <w:rFonts w:ascii="Times New Roman" w:hAnsi="Times New Roman"/>
        </w:rPr>
        <w:t xml:space="preserve">TARAFLARNING REKVIZITLARI VA IMZOLARI</w:t>
      </w:r>
    </w:p>
    <w:p>
      <w:pPr>
        <w:pStyle w:val="a3"/>
        <w:jc w:val="both"/>
        <w:ind w:left="0" w:firstLine="425"/>
        <w:spacing w:after="0" w:line="288" w:lineRule="auto"/>
        <w:rPr>
          <w:sz w:val="24"/>
          <w:rFonts w:ascii="Times New Roman" w:hAnsi="Times New Roman"/>
        </w:rPr>
      </w:pPr>
      <w:r>
        <w:rPr>
          <w:sz w:val="24"/>
          <w:rFonts w:ascii="Times New Roman" w:hAnsi="Times New Roman"/>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129"/>
        <w:gridCol w:w="7230"/>
        <w:gridCol w:w="986"/>
      </w:tblGrid>
      <w:tr>
        <w:tc>
          <w:tcPr>
            <w:tcW w:w="1129" w:type="dxa"/>
          </w:tcPr>
          <w:p>
            <w:pPr>
              <w:pStyle w:val="a3"/>
              <w:jc w:val="both"/>
              <w:ind w:left="0"/>
              <w:spacing w:line="288" w:lineRule="auto"/>
              <w:rPr>
                <w:sz w:val="24"/>
                <w:rFonts w:ascii="Times New Roman" w:hAnsi="Times New Roman"/>
              </w:rPr>
            </w:pPr>
          </w:p>
        </w:tc>
        <w:tc>
          <w:tcPr>
            <w:tcW w:w="7230" w:type="dxa"/>
          </w:tcPr>
          <w:p>
            <w:pPr>
              <w:pStyle w:val="a3"/>
              <w:jc w:val="center"/>
              <w:ind w:left="0" w:firstLine="425"/>
              <w:spacing w:line="288" w:lineRule="auto"/>
              <w:rPr>
                <w:b/>
                <w:rFonts w:ascii="Times New Roman" w:hAnsi="Times New Roman"/>
              </w:rPr>
            </w:pPr>
            <w:r>
              <w:rPr>
                <w:b/>
                <w:rFonts w:ascii="Times New Roman" w:hAnsi="Times New Roman"/>
              </w:rPr>
            </w:r>
          </w:p>
        </w:tc>
        <w:tc>
          <w:tcPr>
            <w:tcW w:w="986" w:type="dxa"/>
          </w:tcPr>
          <w:p>
            <w:pPr>
              <w:pStyle w:val="a3"/>
              <w:jc w:val="both"/>
              <w:ind w:left="0"/>
              <w:spacing w:line="288" w:lineRule="auto"/>
              <w:rPr>
                <w:sz w:val="24"/>
                <w:rFonts w:ascii="Times New Roman" w:hAnsi="Times New Roman"/>
              </w:rPr>
            </w:pPr>
          </w:p>
        </w:tc>
      </w:tr>
    </w:tbl>
    <w:tbl>
      <w:tblPr>
        <w:tblStyle w:val="a4"/>
        <w:tblW w:w="11052" w:type="dxa"/>
        <w:tblpPr w:horzAnchor="page" w:vertAnchor="text" w:tblpX="526" w:tblpY="-123"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405"/>
        <w:gridCol w:w="2410"/>
        <w:gridCol w:w="283"/>
        <w:gridCol w:w="1276"/>
        <w:gridCol w:w="2977"/>
        <w:gridCol w:w="1701"/>
      </w:tblGrid>
      <w:tr>
        <w:tc>
          <w:tcPr>
            <w:tcW w:w="4815" w:type="dxa"/>
            <w:gridSpan w:val="2"/>
          </w:tcPr>
          <w:p>
            <w:pPr>
              <w:pStyle w:val="a3"/>
              <w:jc w:val="both"/>
              <w:ind w:right="286"/>
              <w:spacing w:line="288" w:lineRule="auto"/>
              <w:rPr>
                <w:b/>
                <w:rFonts w:ascii="Times New Roman" w:hAnsi="Times New Roman"/>
              </w:rPr>
            </w:pPr>
            <w:r>
              <w:rPr>
                <w:b/>
                <w:rFonts w:ascii="Times New Roman" w:hAnsi="Times New Roman"/>
              </w:rPr>
              <w:t xml:space="preserve">LIZING BERUVCHI:</w:t>
            </w:r>
          </w:p>
        </w:tc>
        <w:tc>
          <w:tcPr>
            <w:tcW w:w="1559" w:type="dxa"/>
            <w:gridSpan w:val="2"/>
          </w:tcPr>
          <w:p>
            <w:pPr>
              <w:pStyle w:val="a3"/>
              <w:jc w:val="both"/>
              <w:ind w:right="286"/>
              <w:spacing w:line="288" w:lineRule="auto"/>
              <w:rPr>
                <w:b/>
                <w:rFonts w:ascii="Times New Roman" w:hAnsi="Times New Roman"/>
              </w:rPr>
            </w:pPr>
          </w:p>
        </w:tc>
        <w:tc>
          <w:tcPr>
            <w:tcW w:w="4678" w:type="dxa"/>
            <w:gridSpan w:val="2"/>
          </w:tcPr>
          <w:p>
            <w:pPr>
              <w:pStyle w:val="a3"/>
              <w:jc w:val="both"/>
              <w:ind w:right="286"/>
              <w:spacing w:line="288" w:lineRule="auto"/>
              <w:rPr>
                <w:b/>
                <w:rFonts w:ascii="Times New Roman" w:hAnsi="Times New Roman"/>
              </w:rPr>
            </w:pPr>
            <w:r>
              <w:rPr>
                <w:b/>
                <w:rFonts w:ascii="Times New Roman" w:hAnsi="Times New Roman"/>
              </w:rPr>
              <w:t xml:space="preserve">LIZING OLUVCHI:</w:t>
            </w:r>
          </w:p>
        </w:tc>
      </w:tr>
      <w:tr>
        <w:tc>
          <w:tcPr>
            <w:tcW w:w="4815" w:type="dxa"/>
            <w:gridSpan w:val="2"/>
          </w:tcPr>
          <w:p>
            <w:pPr>
              <w:pStyle w:val="a3"/>
              <w:jc w:val="both"/>
              <w:ind w:right="286"/>
              <w:spacing w:line="288" w:lineRule="auto"/>
              <w:rPr>
                <w:sz w:val="24"/>
                <w:rFonts w:ascii="Times New Roman" w:hAnsi="Times New Roman"/>
              </w:rPr>
            </w:pPr>
            <w:r>
              <w:rPr>
                <w:sz w:val="24"/>
                <w:rFonts w:ascii="Times New Roman" w:hAnsi="Times New Roman"/>
              </w:rPr>
              <w:t xml:space="preserve"> </w:t>
            </w: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t xml:space="preserve">Lizing beruvchi tashkilotning manzili</w:t>
            </w:r>
            <w:r>
              <w:rPr>
                <w:vanish w:val="false"/>
                <w:sz w:val="24"/>
                <w:rFonts w:ascii="Times New Roman" w:hAnsi="Times New Roman"/>
              </w:rPr>
              <w:fldChar w:fldCharType="end"/>
            </w:r>
          </w:p>
        </w:tc>
        <w:tc>
          <w:tcPr>
            <w:tcW w:w="1559" w:type="dxa"/>
            <w:gridSpan w:val="2"/>
          </w:tcPr>
          <w:p>
            <w:pPr>
              <w:pStyle w:val="a3"/>
              <w:jc w:val="both"/>
              <w:ind w:right="286"/>
              <w:spacing w:line="288" w:lineRule="auto"/>
              <w:rPr>
                <w:sz w:val="24"/>
                <w:rFonts w:ascii="Times New Roman" w:hAnsi="Times New Roman"/>
              </w:rPr>
            </w:pPr>
          </w:p>
        </w:tc>
        <w:tc>
          <w:tcPr>
            <w:tcW w:w="4678" w:type="dxa"/>
            <w:gridSpan w:val="2"/>
          </w:tcPr>
          <w:p>
            <w:pPr>
              <w:pStyle w:val="a3"/>
              <w:jc w:val="both"/>
              <w:ind w:right="286"/>
              <w:spacing w:line="288"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t xml:space="preserve">Lizing oluvchining manzili</w:t>
            </w:r>
            <w:r>
              <w:rPr>
                <w:vanish w:val="false"/>
                <w:sz w:val="24"/>
                <w:rFonts w:ascii="Times New Roman" w:hAnsi="Times New Roman"/>
              </w:rPr>
              <w:fldChar w:fldCharType="end"/>
            </w:r>
          </w:p>
        </w:tc>
      </w:tr>
      <w:tr>
        <w:tc>
          <w:tcPr>
            <w:tcW w:w="4815" w:type="dxa"/>
            <w:gridSpan w:val="2"/>
          </w:tcPr>
          <w:p>
            <w:pPr>
              <w:pStyle w:val="a3"/>
              <w:jc w:val="both"/>
              <w:ind w:right="286"/>
              <w:spacing w:line="288"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Lizing beruvchining hisob raqami joylashgan bank nomi</w:t>
            </w:r>
            <w:r>
              <w:rPr>
                <w:vanish w:val="false"/>
                <w:sz w:val="24"/>
                <w:rFonts w:ascii="Times New Roman" w:hAnsi="Times New Roman"/>
              </w:rPr>
              <w:fldChar w:fldCharType="end"/>
            </w:r>
          </w:p>
        </w:tc>
        <w:tc>
          <w:tcPr>
            <w:tcW w:w="1559" w:type="dxa"/>
            <w:gridSpan w:val="2"/>
          </w:tcPr>
          <w:p>
            <w:pPr>
              <w:pStyle w:val="a3"/>
              <w:jc w:val="both"/>
              <w:ind w:right="286"/>
              <w:spacing w:line="288" w:lineRule="auto"/>
              <w:rPr>
                <w:sz w:val="24"/>
                <w:rFonts w:ascii="Times New Roman" w:hAnsi="Times New Roman"/>
              </w:rPr>
            </w:pPr>
          </w:p>
        </w:tc>
        <w:tc>
          <w:tcPr>
            <w:tcW w:w="4678" w:type="dxa"/>
            <w:gridSpan w:val="2"/>
          </w:tcPr>
          <w:p>
            <w:pPr>
              <w:pStyle w:val="a3"/>
              <w:jc w:val="both"/>
              <w:ind w:right="286"/>
              <w:spacing w:line="288"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Lizing oluvchining hisob raqami joylashgan bank nomi</w:t>
            </w:r>
            <w:r>
              <w:rPr>
                <w:vanish w:val="false"/>
                <w:sz w:val="24"/>
                <w:rFonts w:ascii="Times New Roman" w:hAnsi="Times New Roman"/>
              </w:rPr>
              <w:fldChar w:fldCharType="end"/>
            </w:r>
          </w:p>
        </w:tc>
      </w:tr>
      <w:tr>
        <w:tc>
          <w:tcPr>
            <w:tcW w:w="4815" w:type="dxa"/>
            <w:gridSpan w:val="2"/>
          </w:tcPr>
          <w:p>
            <w:pPr>
              <w:pStyle w:val="a3"/>
              <w:jc w:val="both"/>
              <w:ind w:right="286"/>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t xml:space="preserve">Lizing beruvchining hisob raqami</w:t>
            </w:r>
            <w:r>
              <w:rPr>
                <w:vanish w:val="false"/>
                <w:sz w:val="24"/>
                <w:rFonts w:ascii="Times New Roman" w:hAnsi="Times New Roman"/>
              </w:rPr>
              <w:fldChar w:fldCharType="end"/>
            </w:r>
          </w:p>
        </w:tc>
        <w:tc>
          <w:tcPr>
            <w:tcW w:w="1559" w:type="dxa"/>
            <w:gridSpan w:val="2"/>
          </w:tcPr>
          <w:p>
            <w:pPr>
              <w:pStyle w:val="a3"/>
              <w:jc w:val="both"/>
              <w:ind w:right="286"/>
              <w:spacing w:line="288" w:lineRule="auto"/>
              <w:rPr>
                <w:sz w:val="24"/>
                <w:rFonts w:ascii="Times New Roman" w:hAnsi="Times New Roman"/>
              </w:rPr>
            </w:pPr>
          </w:p>
        </w:tc>
        <w:tc>
          <w:tcPr>
            <w:tcW w:w="4678" w:type="dxa"/>
            <w:gridSpan w:val="2"/>
          </w:tcPr>
          <w:p>
            <w:pPr>
              <w:pStyle w:val="a3"/>
              <w:jc w:val="both"/>
              <w:ind w:right="286"/>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t xml:space="preserve">Lizing oluvchining hisob raqami</w:t>
            </w:r>
            <w:r>
              <w:rPr>
                <w:vanish w:val="false"/>
                <w:sz w:val="24"/>
                <w:rFonts w:ascii="Times New Roman" w:hAnsi="Times New Roman"/>
              </w:rPr>
              <w:fldChar w:fldCharType="end"/>
            </w:r>
          </w:p>
        </w:tc>
      </w:tr>
      <w:tr>
        <w:tc>
          <w:tcPr>
            <w:tcW w:w="4815" w:type="dxa"/>
            <w:gridSpan w:val="2"/>
          </w:tcPr>
          <w:p>
            <w:pPr>
              <w:pStyle w:val="a3"/>
              <w:jc w:val="both"/>
              <w:ind w:right="286"/>
              <w:spacing w:line="288" w:lineRule="auto"/>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Lizing beruvchining STIR raqami</w:t>
            </w:r>
            <w:r>
              <w:rPr>
                <w:vanish w:val="false"/>
                <w:sz w:val="24"/>
                <w:rFonts w:ascii="Times New Roman" w:hAnsi="Times New Roman"/>
              </w:rPr>
              <w:fldChar w:fldCharType="end"/>
            </w:r>
          </w:p>
        </w:tc>
        <w:tc>
          <w:tcPr>
            <w:tcW w:w="1559" w:type="dxa"/>
            <w:gridSpan w:val="2"/>
          </w:tcPr>
          <w:p>
            <w:pPr>
              <w:pStyle w:val="a3"/>
              <w:jc w:val="both"/>
              <w:ind w:right="286"/>
              <w:spacing w:line="288" w:lineRule="auto"/>
              <w:rPr>
                <w:sz w:val="24"/>
                <w:rFonts w:ascii="Times New Roman" w:hAnsi="Times New Roman"/>
              </w:rPr>
            </w:pPr>
          </w:p>
        </w:tc>
        <w:tc>
          <w:tcPr>
            <w:tcW w:w="4678" w:type="dxa"/>
            <w:gridSpan w:val="2"/>
          </w:tcPr>
          <w:p>
            <w:pPr>
              <w:pStyle w:val="a3"/>
              <w:jc w:val="both"/>
              <w:ind w:right="286"/>
              <w:spacing w:line="288" w:lineRule="auto"/>
              <w:rPr>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t xml:space="preserve">Lizing oluvchining STIR raqami</w:t>
            </w:r>
            <w:r>
              <w:rPr>
                <w:vanish w:val="false"/>
                <w:sz w:val="24"/>
                <w:rFonts w:ascii="Times New Roman" w:hAnsi="Times New Roman"/>
              </w:rPr>
              <w:fldChar w:fldCharType="end"/>
            </w:r>
          </w:p>
        </w:tc>
      </w:tr>
      <w:tr>
        <w:tc>
          <w:tcPr>
            <w:tcW w:w="4815" w:type="dxa"/>
            <w:gridSpan w:val="2"/>
          </w:tcPr>
          <w:p>
            <w:pPr>
              <w:pStyle w:val="a3"/>
              <w:jc w:val="both"/>
              <w:ind w:right="286"/>
              <w:spacing w:line="288" w:lineRule="auto"/>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Lizing beruvchining telefon raqami</w:t>
            </w:r>
            <w:r>
              <w:rPr>
                <w:vanish w:val="false"/>
                <w:sz w:val="24"/>
                <w:rFonts w:ascii="Times New Roman" w:hAnsi="Times New Roman"/>
              </w:rPr>
              <w:fldChar w:fldCharType="end"/>
            </w:r>
          </w:p>
        </w:tc>
        <w:tc>
          <w:tcPr>
            <w:tcW w:w="1559" w:type="dxa"/>
            <w:gridSpan w:val="2"/>
          </w:tcPr>
          <w:p>
            <w:pPr>
              <w:pStyle w:val="a3"/>
              <w:jc w:val="both"/>
              <w:ind w:right="286"/>
              <w:spacing w:line="288" w:lineRule="auto"/>
              <w:rPr>
                <w:sz w:val="24"/>
                <w:rFonts w:ascii="Times New Roman" w:hAnsi="Times New Roman"/>
              </w:rPr>
            </w:pPr>
          </w:p>
        </w:tc>
        <w:tc>
          <w:tcPr>
            <w:tcW w:w="4678" w:type="dxa"/>
            <w:gridSpan w:val="2"/>
          </w:tcPr>
          <w:p>
            <w:pPr>
              <w:pStyle w:val="a3"/>
              <w:jc w:val="both"/>
              <w:ind w:right="286"/>
              <w:spacing w:line="288" w:lineRule="auto"/>
              <w:rPr>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{"Y":21}</w:instrText>
              <w:fldChar w:fldCharType="separate"/>
              <w:t xml:space="preserve">Lizing oluvchi tashkilotning telefon raqami</w:t>
            </w:r>
            <w:r>
              <w:rPr>
                <w:vanish w:val="false"/>
                <w:sz w:val="24"/>
                <w:rFonts w:ascii="Times New Roman" w:hAnsi="Times New Roman"/>
              </w:rPr>
              <w:fldChar w:fldCharType="end"/>
            </w:r>
          </w:p>
        </w:tc>
      </w:tr>
      <w:tr>
        <w:tc>
          <w:tcPr>
            <w:tcW w:w="2405" w:type="dxa"/>
          </w:tcPr>
          <w:p>
            <w:pPr>
              <w:pStyle w:val="a3"/>
              <w:jc w:val="both"/>
              <w:ind w:right="286"/>
              <w:spacing w:line="288"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Lizing beruvchi tashkilot rahbarining F.I.O.si</w:t>
            </w:r>
            <w:r>
              <w:rPr>
                <w:vanish w:val="false"/>
                <w:sz w:val="24"/>
                <w:rFonts w:ascii="Times New Roman" w:hAnsi="Times New Roman"/>
              </w:rPr>
              <w:fldChar w:fldCharType="end"/>
            </w:r>
          </w:p>
        </w:tc>
        <w:tc>
          <w:tcPr>
            <w:tcW w:w="2410" w:type="dxa"/>
          </w:tcPr>
          <w:p>
            <w:pPr>
              <w:pStyle w:val="a3"/>
              <w:jc w:val="center"/>
              <w:ind w:right="286"/>
              <w:spacing w:line="288" w:lineRule="auto"/>
              <w:rPr>
                <w:b/>
                <w:sz w:val="24"/>
                <w:rFonts w:ascii="Times New Roman" w:hAnsi="Times New Roman"/>
              </w:rPr>
            </w:pPr>
            <w:r>
              <w:rPr>
                <w:sz w:val="24"/>
                <w:rFonts w:ascii="Times New Roman" w:hAnsi="Times New Roman"/>
              </w:rPr>
              <w:t>_______________</w:t>
            </w:r>
          </w:p>
        </w:tc>
        <w:tc>
          <w:tcPr>
            <w:tcW w:w="283" w:type="dxa"/>
          </w:tcPr>
          <w:p>
            <w:pPr>
              <w:pStyle w:val="a3"/>
              <w:jc w:val="both"/>
              <w:ind w:right="286"/>
              <w:spacing w:line="288" w:lineRule="auto"/>
              <w:rPr>
                <w:b/>
                <w:sz w:val="24"/>
                <w:rFonts w:ascii="Times New Roman" w:hAnsi="Times New Roman"/>
              </w:rPr>
            </w:pPr>
          </w:p>
        </w:tc>
        <w:tc>
          <w:tcPr>
            <w:tcW w:w="1276" w:type="dxa"/>
          </w:tcPr>
          <w:p>
            <w:pPr>
              <w:pStyle w:val="a3"/>
              <w:jc w:val="center"/>
              <w:ind w:right="286"/>
              <w:spacing w:line="288" w:lineRule="auto"/>
              <w:rPr>
                <w:b/>
                <w:sz w:val="24"/>
                <w:rFonts w:ascii="Times New Roman" w:hAnsi="Times New Roman"/>
              </w:rPr>
            </w:pPr>
          </w:p>
        </w:tc>
        <w:tc>
          <w:tcPr>
            <w:tcW w:w="2977" w:type="dxa"/>
          </w:tcPr>
          <w:p>
            <w:pPr>
              <w:pStyle w:val="a3"/>
              <w:jc w:val="both"/>
              <w:ind w:right="286"/>
              <w:spacing w:line="288" w:lineRule="auto"/>
              <w:rPr>
                <w:b/>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Lizing oluvchi (tashkilot rahbari)ning F.I.O.si</w:t>
            </w:r>
            <w:r>
              <w:rPr>
                <w:vanish w:val="false"/>
                <w:sz w:val="24"/>
                <w:rFonts w:ascii="Times New Roman" w:hAnsi="Times New Roman"/>
              </w:rPr>
              <w:fldChar w:fldCharType="end"/>
            </w:r>
          </w:p>
        </w:tc>
        <w:tc>
          <w:tcPr>
            <w:tcW w:w="1701" w:type="dxa"/>
          </w:tcPr>
          <w:p>
            <w:pPr>
              <w:pStyle w:val="a3"/>
              <w:jc w:val="center"/>
              <w:ind w:right="286"/>
              <w:spacing w:line="288" w:lineRule="auto"/>
              <w:rPr>
                <w:b/>
                <w:sz w:val="24"/>
                <w:rFonts w:ascii="Times New Roman" w:hAnsi="Times New Roman"/>
              </w:rPr>
            </w:pPr>
            <w:r>
              <w:rPr>
                <w:sz w:val="24"/>
                <w:rFonts w:ascii="Times New Roman" w:hAnsi="Times New Roman"/>
              </w:rPr>
              <w:t>____________</w:t>
            </w:r>
          </w:p>
        </w:tc>
      </w:tr>
      <w:tr>
        <w:tc>
          <w:tcPr>
            <w:tcW w:w="2405" w:type="dxa"/>
          </w:tcPr>
          <w:p>
            <w:pPr>
              <w:pStyle w:val="a3"/>
              <w:jc w:val="both"/>
              <w:ind w:right="286"/>
              <w:spacing w:line="288" w:lineRule="auto"/>
              <w:rPr>
                <w:b/>
                <w:sz w:val="24"/>
                <w:rFonts w:ascii="Times New Roman" w:hAnsi="Times New Roman"/>
              </w:rPr>
            </w:pPr>
          </w:p>
        </w:tc>
        <w:tc>
          <w:tcPr>
            <w:tcW w:w="2410" w:type="dxa"/>
          </w:tcPr>
          <w:p>
            <w:pPr>
              <w:pStyle w:val="a3"/>
              <w:jc w:val="center"/>
              <w:ind w:right="286"/>
              <w:spacing w:line="288" w:lineRule="auto"/>
              <w:rPr>
                <w:sz w:val="24"/>
                <w:rFonts w:ascii="Times New Roman" w:hAnsi="Times New Roman"/>
              </w:rPr>
            </w:pPr>
            <w:r>
              <w:rPr>
                <w:sz w:val="24"/>
                <w:rFonts w:ascii="Times New Roman" w:hAnsi="Times New Roman"/>
              </w:rPr>
              <w:t>(Imzo)</w:t>
            </w:r>
          </w:p>
        </w:tc>
        <w:tc>
          <w:tcPr>
            <w:tcW w:w="283" w:type="dxa"/>
          </w:tcPr>
          <w:p>
            <w:pPr>
              <w:pStyle w:val="a3"/>
              <w:jc w:val="both"/>
              <w:ind w:right="286"/>
              <w:spacing w:line="288" w:lineRule="auto"/>
              <w:rPr>
                <w:b/>
                <w:sz w:val="24"/>
                <w:rFonts w:ascii="Times New Roman" w:hAnsi="Times New Roman"/>
              </w:rPr>
            </w:pPr>
          </w:p>
        </w:tc>
        <w:tc>
          <w:tcPr>
            <w:tcW w:w="1276" w:type="dxa"/>
          </w:tcPr>
          <w:p>
            <w:pPr>
              <w:pStyle w:val="a3"/>
              <w:jc w:val="center"/>
              <w:ind w:right="286"/>
              <w:spacing w:line="288" w:lineRule="auto"/>
              <w:rPr>
                <w:sz w:val="24"/>
                <w:rFonts w:ascii="Times New Roman" w:hAnsi="Times New Roman"/>
              </w:rPr>
            </w:pPr>
          </w:p>
        </w:tc>
        <w:tc>
          <w:tcPr>
            <w:tcW w:w="2977" w:type="dxa"/>
          </w:tcPr>
          <w:p>
            <w:pPr>
              <w:pStyle w:val="a3"/>
              <w:jc w:val="both"/>
              <w:ind w:right="286"/>
              <w:spacing w:line="288" w:lineRule="auto"/>
              <w:rPr>
                <w:b/>
                <w:sz w:val="24"/>
                <w:rFonts w:ascii="Times New Roman" w:hAnsi="Times New Roman"/>
              </w:rPr>
            </w:pPr>
          </w:p>
        </w:tc>
        <w:tc>
          <w:tcPr>
            <w:tcW w:w="1701" w:type="dxa"/>
          </w:tcPr>
          <w:p>
            <w:pPr>
              <w:pStyle w:val="a3"/>
              <w:jc w:val="center"/>
              <w:ind w:right="286"/>
              <w:spacing w:line="288" w:lineRule="auto"/>
              <w:rPr>
                <w:sz w:val="24"/>
                <w:rFonts w:ascii="Times New Roman" w:hAnsi="Times New Roman"/>
              </w:rPr>
            </w:pPr>
            <w:r>
              <w:rPr>
                <w:sz w:val="24"/>
                <w:rFonts w:ascii="Times New Roman" w:hAnsi="Times New Roman"/>
              </w:rPr>
              <w:t>(Imzo)</w:t>
            </w:r>
          </w:p>
        </w:tc>
      </w:tr>
    </w:tbl>
    <w:p>
      <w:pPr>
        <w:jc w:val="both"/>
        <w:ind w:right="286"/>
        <w:spacing w:after="0" w:line="288" w:lineRule="auto"/>
        <w:rPr>
          <w:b/>
          <w:sz w:val="24"/>
          <w:rFonts w:ascii="Times New Roman" w:hAnsi="Times New Roman"/>
        </w:rPr>
      </w:pPr>
    </w:p>
    <w:p>
      <w:pPr>
        <w:pStyle w:val="a3"/>
        <w:jc w:val="both"/>
        <w:ind w:left="0" w:firstLine="425"/>
        <w:spacing w:after="0" w:line="288" w:lineRule="auto"/>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52438FB"/>
    <w:multiLevelType w:val="hybridMultilevel"/>
    <w:tmpl w:val="FF10A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25D"/>
    <w:rsid w:val="00014BE4"/>
    <w:rsid w:val="000367E3"/>
    <w:rsid w:val="00045124"/>
    <w:rsid w:val="000712B4"/>
    <w:rsid w:val="00073D7E"/>
    <w:rsid w:val="00081B9E"/>
    <w:rsid w:val="000A24DA"/>
    <w:rsid w:val="000A4A22"/>
    <w:rsid w:val="000C5291"/>
    <w:rsid w:val="000D4369"/>
    <w:rsid w:val="000F0175"/>
    <w:rsid w:val="000F4FBE"/>
    <w:rsid w:val="000F7745"/>
    <w:rsid w:val="001070D0"/>
    <w:rsid w:val="001168C9"/>
    <w:rsid w:val="00120FEC"/>
    <w:rsid w:val="00130945"/>
    <w:rsid w:val="00130C36"/>
    <w:rsid w:val="00160BE1"/>
    <w:rsid w:val="001614D5"/>
    <w:rsid w:val="0016395E"/>
    <w:rsid w:val="00183B43"/>
    <w:rsid w:val="00184510"/>
    <w:rsid w:val="001B12BB"/>
    <w:rsid w:val="001B2AD6"/>
    <w:rsid w:val="001B398F"/>
    <w:rsid w:val="001B652B"/>
    <w:rsid w:val="001C2618"/>
    <w:rsid w:val="001D45EE"/>
    <w:rsid w:val="001E7C8B"/>
    <w:rsid w:val="0022245C"/>
    <w:rsid w:val="00227647"/>
    <w:rsid w:val="0023225D"/>
    <w:rsid w:val="0023638D"/>
    <w:rsid w:val="0025022F"/>
    <w:rsid w:val="002524F9"/>
    <w:rsid w:val="00253B4F"/>
    <w:rsid w:val="00271004"/>
    <w:rsid w:val="002D2366"/>
    <w:rsid w:val="002D5B65"/>
    <w:rsid w:val="002E5335"/>
    <w:rsid w:val="00326633"/>
    <w:rsid w:val="003401E0"/>
    <w:rsid w:val="0034118E"/>
    <w:rsid w:val="003425CA"/>
    <w:rsid w:val="0034558B"/>
    <w:rsid w:val="0036208A"/>
    <w:rsid w:val="00382676"/>
    <w:rsid w:val="0038483B"/>
    <w:rsid w:val="003A1E46"/>
    <w:rsid w:val="003A73C5"/>
    <w:rsid w:val="003B2066"/>
    <w:rsid w:val="003C5A31"/>
    <w:rsid w:val="003D41FF"/>
    <w:rsid w:val="003E3F56"/>
    <w:rsid w:val="003F425C"/>
    <w:rsid w:val="004173F2"/>
    <w:rsid w:val="004227D6"/>
    <w:rsid w:val="00433675"/>
    <w:rsid w:val="004345AB"/>
    <w:rsid w:val="004430FF"/>
    <w:rsid w:val="0044519C"/>
    <w:rsid w:val="00447F7A"/>
    <w:rsid w:val="00455F41"/>
    <w:rsid w:val="004639E6"/>
    <w:rsid w:val="00470827"/>
    <w:rsid w:val="00476C50"/>
    <w:rsid w:val="0049374E"/>
    <w:rsid w:val="004C5692"/>
    <w:rsid w:val="004D053A"/>
    <w:rsid w:val="004D7CB5"/>
    <w:rsid w:val="00500891"/>
    <w:rsid w:val="00503268"/>
    <w:rsid w:val="00514026"/>
    <w:rsid w:val="00515C61"/>
    <w:rsid w:val="0051753E"/>
    <w:rsid w:val="00523AEE"/>
    <w:rsid w:val="00537960"/>
    <w:rsid w:val="005510F8"/>
    <w:rsid w:val="00575F6F"/>
    <w:rsid w:val="0058024D"/>
    <w:rsid w:val="00585B93"/>
    <w:rsid w:val="00591F80"/>
    <w:rsid w:val="005A3206"/>
    <w:rsid w:val="005A6C4E"/>
    <w:rsid w:val="005B3A61"/>
    <w:rsid w:val="0060569C"/>
    <w:rsid w:val="00634AA2"/>
    <w:rsid w:val="00637042"/>
    <w:rsid w:val="00642AEC"/>
    <w:rsid w:val="006476ED"/>
    <w:rsid w:val="006563FF"/>
    <w:rsid w:val="00665D1E"/>
    <w:rsid w:val="0066635B"/>
    <w:rsid w:val="006759AA"/>
    <w:rsid w:val="0068406D"/>
    <w:rsid w:val="006935CB"/>
    <w:rsid w:val="00693AE1"/>
    <w:rsid w:val="006D3498"/>
    <w:rsid w:val="006D5123"/>
    <w:rsid w:val="006E58BB"/>
    <w:rsid w:val="007464C6"/>
    <w:rsid w:val="00754D0C"/>
    <w:rsid w:val="007B1AC4"/>
    <w:rsid w:val="007E1DD4"/>
    <w:rsid w:val="007E5550"/>
    <w:rsid w:val="00801DDF"/>
    <w:rsid w:val="008108E6"/>
    <w:rsid w:val="00824412"/>
    <w:rsid w:val="00844AD6"/>
    <w:rsid w:val="008459D4"/>
    <w:rsid w:val="00847094"/>
    <w:rsid w:val="00851955"/>
    <w:rsid w:val="008549B4"/>
    <w:rsid w:val="008640A5"/>
    <w:rsid w:val="00867226"/>
    <w:rsid w:val="00867E71"/>
    <w:rsid w:val="00876DD7"/>
    <w:rsid w:val="00881C8A"/>
    <w:rsid w:val="008925A8"/>
    <w:rsid w:val="008A2903"/>
    <w:rsid w:val="008D6D1E"/>
    <w:rsid w:val="008E3217"/>
    <w:rsid w:val="008F2643"/>
    <w:rsid w:val="009013DC"/>
    <w:rsid w:val="00901500"/>
    <w:rsid w:val="00902507"/>
    <w:rsid w:val="00905CEF"/>
    <w:rsid w:val="00914731"/>
    <w:rsid w:val="009173EF"/>
    <w:rsid w:val="0092439D"/>
    <w:rsid w:val="0092756B"/>
    <w:rsid w:val="00935CFE"/>
    <w:rsid w:val="009504A9"/>
    <w:rsid w:val="009625FB"/>
    <w:rsid w:val="009A19C9"/>
    <w:rsid w:val="009C0846"/>
    <w:rsid w:val="009E1C0D"/>
    <w:rsid w:val="009F313C"/>
    <w:rsid w:val="009F399F"/>
    <w:rsid w:val="00A067EC"/>
    <w:rsid w:val="00A15A0B"/>
    <w:rsid w:val="00A5559D"/>
    <w:rsid w:val="00A653B6"/>
    <w:rsid w:val="00A66BDE"/>
    <w:rsid w:val="00A715C2"/>
    <w:rsid w:val="00A81CD4"/>
    <w:rsid w:val="00A82C81"/>
    <w:rsid w:val="00A926CF"/>
    <w:rsid w:val="00AE5B9A"/>
    <w:rsid w:val="00AF5EC8"/>
    <w:rsid w:val="00AF7FCC"/>
    <w:rsid w:val="00B002ED"/>
    <w:rsid w:val="00B054D0"/>
    <w:rsid w:val="00B13821"/>
    <w:rsid w:val="00B16661"/>
    <w:rsid w:val="00B707A8"/>
    <w:rsid w:val="00B72065"/>
    <w:rsid w:val="00B90075"/>
    <w:rsid w:val="00BB0DC3"/>
    <w:rsid w:val="00BB56F3"/>
    <w:rsid w:val="00BC3860"/>
    <w:rsid w:val="00BD5320"/>
    <w:rsid w:val="00BE2AC7"/>
    <w:rsid w:val="00BF1FA0"/>
    <w:rsid w:val="00C0334D"/>
    <w:rsid w:val="00C10E3D"/>
    <w:rsid w:val="00C16D63"/>
    <w:rsid w:val="00C21A41"/>
    <w:rsid w:val="00C27B0C"/>
    <w:rsid w:val="00C40A73"/>
    <w:rsid w:val="00C45925"/>
    <w:rsid w:val="00C52BCD"/>
    <w:rsid w:val="00C7156B"/>
    <w:rsid w:val="00C767CB"/>
    <w:rsid w:val="00C83DF0"/>
    <w:rsid w:val="00C84DC3"/>
    <w:rsid w:val="00CC6944"/>
    <w:rsid w:val="00CC6C5E"/>
    <w:rsid w:val="00D00AA2"/>
    <w:rsid w:val="00D0608C"/>
    <w:rsid w:val="00D12B70"/>
    <w:rsid w:val="00D215F1"/>
    <w:rsid w:val="00D2242D"/>
    <w:rsid w:val="00D31A75"/>
    <w:rsid w:val="00D41641"/>
    <w:rsid w:val="00D50D7B"/>
    <w:rsid w:val="00D5440C"/>
    <w:rsid w:val="00D64B6A"/>
    <w:rsid w:val="00D75BA1"/>
    <w:rsid w:val="00D84245"/>
    <w:rsid w:val="00D90DCF"/>
    <w:rsid w:val="00DA5B5C"/>
    <w:rsid w:val="00DD69AE"/>
    <w:rsid w:val="00DF70DB"/>
    <w:rsid w:val="00E21B71"/>
    <w:rsid w:val="00E30742"/>
    <w:rsid w:val="00E50420"/>
    <w:rsid w:val="00E66B4D"/>
    <w:rsid w:val="00E74D8F"/>
    <w:rsid w:val="00E84185"/>
    <w:rsid w:val="00EA7EE5"/>
    <w:rsid w:val="00EB364A"/>
    <w:rsid w:val="00EB5889"/>
    <w:rsid w:val="00ED7C1B"/>
    <w:rsid w:val="00EE1032"/>
    <w:rsid w:val="00EE509C"/>
    <w:rsid w:val="00EF46B7"/>
    <w:rsid w:val="00EF5A93"/>
    <w:rsid w:val="00F045F5"/>
    <w:rsid w:val="00F05BC8"/>
    <w:rsid w:val="00F155A3"/>
    <w:rsid w:val="00F436A6"/>
    <w:rsid w:val="00F6152E"/>
    <w:rsid w:val="00F7651F"/>
    <w:rsid w:val="00F8023A"/>
    <w:rsid w:val="00F80779"/>
    <w:rsid w:val="00FC0848"/>
    <w:rsid w:val="00FC4D1E"/>
    <w:rsid w:val="00FD0F56"/>
    <w:rsid w:val="00FE64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2B7D"/>
  <w15:chartTrackingRefBased/>
  <w15:docId w15:val="{C12A7D7B-A881-4F94-B043-969954746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5123"/>
    <w:pPr>
      <w:ind w:left="720"/>
      <w:contextualSpacing/>
    </w:pPr>
  </w:style>
  <w:style w:type="table" w:styleId="a4">
    <w:name w:val="Table Grid"/>
    <w:basedOn w:val="a1"/>
    <w:uiPriority w:val="39"/>
    <w:rsid w:val="00EE1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208355">
      <w:bodyDiv w:val="1"/>
      <w:marLeft w:val="0"/>
      <w:marRight w:val="0"/>
      <w:marTop w:val="0"/>
      <w:marBottom w:val="0"/>
      <w:divBdr>
        <w:top w:val="none" w:sz="0" w:space="0" w:color="auto"/>
        <w:left w:val="none" w:sz="0" w:space="0" w:color="auto"/>
        <w:bottom w:val="none" w:sz="0" w:space="0" w:color="auto"/>
        <w:right w:val="none" w:sz="0" w:space="0" w:color="auto"/>
      </w:divBdr>
    </w:div>
    <w:div w:id="897744550">
      <w:bodyDiv w:val="1"/>
      <w:marLeft w:val="0"/>
      <w:marRight w:val="0"/>
      <w:marTop w:val="0"/>
      <w:marBottom w:val="0"/>
      <w:divBdr>
        <w:top w:val="none" w:sz="0" w:space="0" w:color="auto"/>
        <w:left w:val="none" w:sz="0" w:space="0" w:color="auto"/>
        <w:bottom w:val="none" w:sz="0" w:space="0" w:color="auto"/>
        <w:right w:val="none" w:sz="0" w:space="0" w:color="auto"/>
      </w:divBdr>
    </w:div>
    <w:div w:id="908930015">
      <w:bodyDiv w:val="1"/>
      <w:marLeft w:val="0"/>
      <w:marRight w:val="0"/>
      <w:marTop w:val="0"/>
      <w:marBottom w:val="0"/>
      <w:divBdr>
        <w:top w:val="none" w:sz="0" w:space="0" w:color="auto"/>
        <w:left w:val="none" w:sz="0" w:space="0" w:color="auto"/>
        <w:bottom w:val="none" w:sz="0" w:space="0" w:color="auto"/>
        <w:right w:val="none" w:sz="0" w:space="0" w:color="auto"/>
      </w:divBdr>
    </w:div>
    <w:div w:id="95506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1127</TotalTime>
  <Pages>7</Pages>
  <Words>2236</Words>
  <Characters>12749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Adolat2</cp:lastModifiedBy>
  <cp:revision>243</cp:revision>
  <dcterms:created xsi:type="dcterms:W3CDTF">2021-10-04T04:58:00Z</dcterms:created>
  <dcterms:modified xsi:type="dcterms:W3CDTF">2021-10-18T10:44:00Z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Lizing beruvchi tashkilot to‘g‘risida maʼlumotlar</w:name>
    <w:value w:hidden="true">
      <w:unit w:active="false"/>
    </w:value>
  </w:element>
  <w:element w:id="6" w:kind="variable" w:selector="check" w:type="string" w:valueMode="normal" w:required="false" w:groupID="5">
    <w:identifier xml:space="preserve">ID6</w:identifier>
    <w:name xml:space="preserve">Lizing beruvchi tashkilot nomi, tashkiliy huquqiy shakli</w:name>
    <w:value w:hidden="false">
      <w:unit w:active="false"/>
    </w:value>
  </w:element>
  <w:element w:id="7" w:kind="variable" w:selector="check" w:type="string" w:valueMode="normal" w:required="false" w:groupID="5">
    <w:identifier xml:space="preserve">ID7</w:identifier>
    <w:name xml:space="preserve">Lizing beruvchi tashkilot vakiliga vakolat beruvchi (uning vakolatini tasdiqlovchi) hujjat</w:name>
    <w:comment xml:space="preserve">Masalan: Korxonaning Ustavi, Nizomi yoki ishonchnoma</w:comment>
    <w:value w:hidden="false">
      <w:unit w:active="false"/>
    </w:value>
  </w:element>
  <w:element w:id="8" w:kind="variable" w:selector="check" w:type="string" w:valueMode="normal" w:required="false" w:groupID="5">
    <w:identifier xml:space="preserve">ID8</w:identifier>
    <w:name xml:space="preserve">Lizing beruvchi tashkilot rahbarining F.I.O.si</w:name>
    <w:value w:hidden="false">
      <w:unit w:active="false"/>
    </w:value>
  </w:element>
  <w:element w:id="9" w:kind="variable" w:selector="check" w:type="string" w:valueMode="normal" w:required="false" w:groupID="5">
    <w:identifier xml:space="preserve">ID9</w:identifier>
    <w:name xml:space="preserve">Lizing beruvchining hisob raqami joylashgan bank nomi</w:name>
    <w:value w:hidden="false">
      <w:unit w:active="false"/>
    </w:value>
  </w:element>
  <w:element w:id="10" w:kind="variable" w:selector="check" w:type="string" w:valueMode="normal" w:required="false" w:groupID="5">
    <w:identifier xml:space="preserve">ID10</w:identifier>
    <w:name xml:space="preserve">Lizing beruvchining hisob raqami</w:name>
    <w:value w:hidden="false">
      <w:unit w:active="false"/>
    </w:value>
  </w:element>
  <w:element w:id="11" w:kind="variable" w:selector="check" w:type="string" w:valueMode="normal" w:required="false" w:groupID="5">
    <w:identifier xml:space="preserve">ID11</w:identifier>
    <w:name xml:space="preserve">Lizing beruvchining STIR raqami</w:name>
    <w:value w:hidden="false">
      <w:unit w:active="false"/>
    </w:value>
  </w:element>
  <w:element w:id="12" w:kind="variable" w:selector="check" w:type="string" w:valueMode="normal" w:required="false" w:groupID="5">
    <w:identifier xml:space="preserve">ID12</w:identifier>
    <w:name xml:space="preserve">Lizing beruvchining telefon raqami</w:name>
    <w:value w:hidden="false">
      <w:unit w:active="false"/>
    </w:value>
  </w:element>
  <w:element w:id="13" w:kind="variable" w:selector="check" w:type="string" w:valueMode="normal" w:required="false" w:groupID="5">
    <w:identifier xml:space="preserve">ID13</w:identifier>
    <w:name xml:space="preserve">Lizing beruvchi tashkilotning manzili</w:name>
    <w:value w:hidden="false">
      <w:unit w:active="false"/>
    </w:value>
  </w:element>
  <w:element w:id="14" w:kind="category" w:selector="check" w:type="string" w:valueMode="normal" w:required="false">
    <w:identifier xml:space="preserve">ID14</w:identifier>
    <w:name xml:space="preserve">Lizing oluvchi to‘g‘risida maʼlumotlar</w:name>
    <w:value w:hidden="true">
      <w:unit w:active="false"/>
    </w:value>
  </w:element>
  <w:element w:id="15" w:kind="variable" w:selector="check" w:type="string" w:valueMode="normal" w:required="false" w:groupID="14">
    <w:identifier xml:space="preserve">ID15</w:identifier>
    <w:name xml:space="preserve">Lizing oluvchi tashkilot nomi, tashkiliy huquqiy shakli</w:name>
    <w:value w:hidden="false">
      <w:unit w:active="false"/>
    </w:value>
  </w:element>
  <w:element w:id="16" w:kind="variable" w:selector="check" w:type="string" w:valueMode="normal" w:required="false" w:groupID="14">
    <w:identifier xml:space="preserve">ID16</w:identifier>
    <w:name xml:space="preserve">Lizing oluvchi tashkilotning vakiliga vakolat beruvchi (uning vakolatini tasdiqlovchi) hujjat</w:name>
    <w:comment xml:space="preserve">Masalan: Korxonaning Ustavi, Nizomi yoki ishonchnoma</w:comment>
    <w:value w:hidden="false">
      <w:unit w:active="false"/>
    </w:value>
  </w:element>
  <w:element w:id="17" w:kind="variable" w:selector="check" w:type="string" w:valueMode="normal" w:required="false" w:groupID="14">
    <w:identifier xml:space="preserve">ID17</w:identifier>
    <w:name xml:space="preserve">Lizing oluvchi (tashkilot rahbari)ning F.I.O.si</w:name>
    <w:value w:hidden="false">
      <w:unit w:active="false"/>
    </w:value>
  </w:element>
  <w:element w:id="18" w:kind="variable" w:selector="check" w:type="string" w:valueMode="normal" w:required="false" w:groupID="14">
    <w:identifier xml:space="preserve">ID18</w:identifier>
    <w:name xml:space="preserve">Lizing oluvchining hisob raqami joylashgan bank nomi</w:name>
    <w:value w:hidden="false">
      <w:unit w:active="false"/>
    </w:value>
  </w:element>
  <w:element w:id="19" w:kind="variable" w:selector="check" w:type="string" w:valueMode="normal" w:required="false" w:groupID="14">
    <w:identifier xml:space="preserve">ID19</w:identifier>
    <w:name xml:space="preserve">Lizing oluvchining hisob raqami</w:name>
    <w:value w:hidden="false">
      <w:unit w:active="false"/>
    </w:value>
  </w:element>
  <w:element w:id="20" w:kind="variable" w:selector="check" w:type="string" w:valueMode="normal" w:required="false" w:groupID="14">
    <w:identifier xml:space="preserve">ID20</w:identifier>
    <w:name xml:space="preserve">Lizing oluvchining STIR raqami</w:name>
    <w:value w:hidden="false">
      <w:unit w:active="false"/>
    </w:value>
  </w:element>
  <w:element w:id="21" w:kind="variable" w:selector="check" w:type="string" w:valueMode="normal" w:required="false" w:groupID="14">
    <w:identifier xml:space="preserve">ID21</w:identifier>
    <w:name xml:space="preserve">Lizing oluvchi tashkilotning telefon raqami</w:name>
    <w:value w:hidden="false">
      <w:unit w:active="false"/>
    </w:value>
  </w:element>
  <w:element w:id="22" w:kind="variable" w:selector="check" w:type="string" w:valueMode="normal" w:required="false" w:groupID="14">
    <w:identifier xml:space="preserve">ID22</w:identifier>
    <w:name xml:space="preserve">Lizing oluvchining manzili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Lizingga berilayotgan moddiy qiymatdagi lizing obyektining lizing oluvchi tomonidan foydalanish muddati</w:name>
    <w:comment xml:space="preserve">Muddat kunlar, oylar, yillar bilan ko‘rsatiladi</w:comment>
    <w:value w:hidden="false">
      <w:unit w:active="false"/>
    </w:value>
  </w:element>
  <w:element w:id="25" w:kind="variable" w:selector="check" w:type="string" w:valueMode="normal" w:required="false" w:groupID="23">
    <w:identifier xml:space="preserve">ID25</w:identifier>
    <w:name xml:space="preserve">Lizingga berilayotgan lizing obyektining nomi</w:name>
    <w:value w:hidden="false">
      <w:unit w:active="false"/>
    </w:value>
  </w:element>
  <w:element w:id="26" w:kind="variable" w:selector="check" w:type="string" w:valueMode="normal" w:required="false" w:groupID="26">
    <w:identifier xml:space="preserve">ID26</w:identifier>
    <w:name xml:space="preserve">Lizing obyektini lizing oluvchiga yetkazib beruvchi tashkilot nomi yoki shaxsning F.I.O.si</w:name>
    <w:value w:hidden="false">
      <w:unit w:active="false"/>
    </w:value>
  </w:element>
  <w:element w:id="27" w:kind="variable" w:selector="check" w:type="string" w:valueMode="normal" w:required="false" w:groupID="23">
    <w:identifier xml:space="preserve">ID27</w:identifier>
    <w:name xml:space="preserve">Lizing obyektini yetkazib berish muddati</w:name>
    <w:comment xml:space="preserve">Muddat kunlar, oylar, yillar bilan ko‘rsatiladi</w:comment>
    <w:value w:hidden="false">
      <w:unit w:active="false"/>
    </w:value>
  </w:element>
  <w:element w:id="28" w:kind="variable" w:selector="check" w:type="string" w:valueMode="normal" w:required="false" w:groupID="23">
    <w:identifier xml:space="preserve">ID28</w:identifier>
    <w:name xml:space="preserve">Lizing obyektini yetkazib berish manzili</w:name>
    <w:value w:hidden="false">
      <w:unit w:active="false"/>
    </w:value>
  </w:element>
  <w:element w:id="29" w:kind="variable" w:selector="check" w:type="string" w:valueMode="normal" w:required="false" w:groupID="23">
    <w:identifier xml:space="preserve">ID29</w:identifier>
    <w:name xml:space="preserve">Lizing obeʼkti uchun oylik ijara to‘lovi miqdori</w:name>
    <w:value w:hidden="false">
      <w:unit w:active="false"/>
    </w:value>
  </w:element>
  <w:element w:id="30" w:kind="variable" w:selector="check" w:type="string" w:valueMode="normal" w:required="false" w:groupID="23">
    <w:identifier xml:space="preserve">ID30</w:identifier>
    <w:name xml:space="preserve">Ijara to‘lovining avans miqdori</w:name>
    <w:value w:hidden="false">
      <w:unit w:active="false"/>
    </w:value>
  </w:element>
  <w:element w:id="31" w:kind="variable" w:selector="check" w:type="string" w:valueMode="normal" w:required="false" w:groupID="23">
    <w:identifier xml:space="preserve">ID31</w:identifier>
    <w:name xml:space="preserve">Lizing obeʼkti uchun oylik ijara to‘lovi kechikkanda to‘lanadigan kunlik penya miqdori</w:name>
    <w:value w:hidden="false">
      <w:unit w:active="false"/>
    </w:value>
  </w:element>
  <w:element w:id="32" w:kind="variable" w:selector="check" w:type="string" w:valueMode="normal" w:required="false" w:groupID="23">
    <w:identifier xml:space="preserve">ID32</w:identifier>
    <w:name xml:space="preserve">Lizing obyektini belgilangan manzilga tashib keltirish, montaj qilish (yig‘ish) va foydalanishga topshirish bilan bog‘liq xarajatlarni qoplab beruvchi taraf</w:name>
    <w:comment xml:space="preserve">Ushbu bandda lizing obyektini belgilangan manzilga tashib keltirish, montaj qilish (yig‘ish) va foydalanishga topshirish bilan bog‘liq xarajatlar kimning hisobidan amalga oshirilishi ko‘rsatiladi</w:comment>
    <w:value w:hidden="false">
      <w:unit w:active="false"/>
    </w:value>
  </w:element>
  <w:element w:id="33" w:kind="variable" w:selector="check" w:type="string" w:valueMode="normal" w:required="false" w:groupID="23">
    <w:identifier xml:space="preserve">ID33</w:identifier>
    <w:name xml:space="preserve">Lizing oluvchi tomonidan lizing obyektidagi kamchiliklar aniqlangan taqdirda lizing beruvchini ogohlantirish muddati</w:name>
    <w:value w:hidden="false">
      <w:unit w:active="false"/>
    </w:value>
  </w:element>
  <w:element w:id="34" w:kind="variable" w:selector="check" w:type="string" w:valueMode="normal" w:required="false" w:groupID="23">
    <w:identifier xml:space="preserve">ID34</w:identifier>
    <w:name xml:space="preserve">Lizing beruvchining shartnomada nazarda tutilganidan boshqa huquqlari</w:name>
    <w:comment xml:space="preserve">Taraflar o‘zaro kelishuv orqali lizing beruvchining boshqa huquqlarini ko‘rsatib o‘tishi mumkin</w:comment>
    <w:value w:hidden="false">
      <w:unit w:active="false"/>
    </w:value>
  </w:element>
  <w:element w:id="35" w:kind="variable" w:selector="check" w:type="string" w:valueMode="normal" w:required="false" w:groupID="23">
    <w:identifier xml:space="preserve">ID35</w:identifier>
    <w:name xml:space="preserve">Lizing beruvchining shartnomada nazarda tutilganidan boshqa majburiyatlari</w:name>
    <w:comment xml:space="preserve">Taraflar o‘zaro kelishuv orqali lizing beruvchining boshqa majburiyatlarini ham ko‘rsatib o‘tishi mumkin</w:comment>
    <w:value w:hidden="false">
      <w:unit w:active="false"/>
    </w:value>
  </w:element>
  <w:element w:id="36" w:kind="variable" w:selector="check" w:type="string" w:valueMode="normal" w:required="false" w:groupID="23">
    <w:identifier xml:space="preserve">ID36</w:identifier>
    <w:name xml:space="preserve">Lizing oluvchining shartnomada nazarda tutilganidan boshqa huquqlari</w:name>
    <w:value w:hidden="false">
      <w:unit w:active="false"/>
    </w:value>
  </w:element>
  <w:element w:id="37" w:kind="variable" w:selector="check" w:type="string" w:valueMode="normal" w:required="false" w:groupID="23">
    <w:identifier xml:space="preserve">ID37</w:identifier>
    <w:name xml:space="preserve">Lizing oluvchining shartnomada nazarda tutilganidan boshqa majburiyatlari</w:name>
    <w:comment xml:space="preserve">Taraflar o‘zaro kelishuv orqali lizing oluvchining boshqa majburiyatlarini ham ko‘rsatib o‘tishi mumkin</w:comment>
    <w:value w:hidden="false">
      <w:unit w:active="false"/>
    </w:value>
  </w:element>
  <w:element w:id="38" w:kind="variable" w:selector="check" w:type="string" w:valueMode="normal" w:required="false" w:groupID="23">
    <w:identifier xml:space="preserve">ID38</w:identifier>
    <w:name xml:space="preserve">Lizing oluvchi lizing oyektini belgilangan muddatda o‘z qaytarmaganda qaytarilmagan har bir kun uchun to‘lanadigan penya miqdori</w:name>
    <w:value w:hidden="false">
      <w:unit w:active="false"/>
    </w:value>
  </w:element>
</w:structure>
</file>