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0" w:type="auto"/>
        <w:tblpPr w:horzAnchor="margin" w:vertAnchor="text" w:tblpY="169"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4"/>
        <w:gridCol w:w="4671"/>
      </w:tblGrid>
      <w:tr>
        <w:tc>
          <w:tcPr>
            <w:tcW w:w="9345" w:type="dxa"/>
            <w:gridSpan w:val="2"/>
          </w:tcPr>
          <w:p>
            <w:pPr>
              <w:jc w:val="center"/>
              <w:ind w:firstLine="567"/>
              <w:rPr>
                <w:b/>
              </w:rPr>
            </w:pPr>
            <w:r>
              <w:rPr>
                <w:b/>
              </w:rPr>
              <w:t xml:space="preserve">Loyiha-smeta hujjatlarini tayyorlash uchun</w:t>
            </w:r>
          </w:p>
          <w:p>
            <w:pPr>
              <w:jc w:val="center"/>
              <w:ind w:firstLine="567"/>
              <w:rPr>
                <w:b/>
              </w:rPr>
            </w:pPr>
            <w:r>
              <w:rPr>
                <w:b/>
                <w:vanish w:val="false"/>
                <w:rFonts w:ascii="Times New Roman" w:hAnsi="Times New Roman"/>
              </w:rPr>
              <w:fldChar w:fldCharType="begin"/>
              <w:instrText xml:space="preserve">X {"Y":3}</w:instrText>
              <w:fldChar w:fldCharType="separate"/>
            </w:r>
            <w:r>
              <w:rPr>
                <w:b/>
                <w:vanish w:val="false"/>
                <w:rFonts w:ascii="Times New Roman" w:hAnsi="Times New Roman"/>
              </w:rPr>
              <w:t xml:space="preserve">Shartnoma raqami</w:t>
              <w:fldChar w:fldCharType="end"/>
            </w:r>
            <w:r>
              <w:rPr>
                <w:b/>
              </w:rPr>
              <w:t xml:space="preserve">-sonli shartnoma</w:t>
            </w:r>
          </w:p>
          <w:p>
            <w:pPr>
              <w:jc w:val="center"/>
              <w:ind w:firstLine="567"/>
              <w:rPr>
                <w:b/>
              </w:rPr>
            </w:pPr>
          </w:p>
        </w:tc>
      </w:tr>
      <w:tr>
        <w:tc>
          <w:tcPr>
            <w:tcW w:w="4674" w:type="dxa"/>
          </w:tcPr>
          <w:p>
            <w:pPr>
              <w:jc w:val="center"/>
              <w:rPr>
                <w:b/>
              </w:rPr>
            </w:pPr>
            <w:r>
              <w:rPr>
                <w:b/>
                <w:vanish w:val="false"/>
                <w:rFonts w:ascii="Times New Roman" w:hAnsi="Times New Roman"/>
              </w:rPr>
              <w:fldChar w:fldCharType="begin"/>
              <w:instrText xml:space="preserve">X {"Y":2}</w:instrText>
              <w:fldChar w:fldCharType="separate"/>
            </w:r>
            <w:r>
              <w:rPr>
                <w:b/>
                <w:vanish w:val="false"/>
                <w:rFonts w:ascii="Times New Roman" w:hAnsi="Times New Roman"/>
              </w:rPr>
              <w:t xml:space="preserve">Shartnoma tuzilgan sana</w:t>
              <w:fldChar w:fldCharType="end"/>
            </w:r>
          </w:p>
        </w:tc>
        <w:tc>
          <w:tcPr>
            <w:tcW w:w="4671" w:type="dxa"/>
          </w:tcPr>
          <w:p>
            <w:pPr>
              <w:jc w:val="center"/>
              <w:rPr>
                <w:b/>
              </w:rPr>
            </w:pPr>
            <w:r>
              <w:rPr>
                <w:b/>
                <w:vanish w:val="false"/>
                <w:rFonts w:ascii="Times New Roman" w:hAnsi="Times New Roman"/>
              </w:rPr>
              <w:fldChar w:fldCharType="begin"/>
              <w:instrText xml:space="preserve">X {"Y":4}</w:instrText>
              <w:fldChar w:fldCharType="separate"/>
            </w:r>
            <w:r>
              <w:rPr>
                <w:b/>
                <w:vanish w:val="false"/>
                <w:rFonts w:ascii="Times New Roman" w:hAnsi="Times New Roman"/>
              </w:rPr>
              <w:t xml:space="preserve">Shartnoma tuzilgan joy</w:t>
              <w:fldChar w:fldCharType="end"/>
            </w:r>
          </w:p>
          <w:p>
            <w:pPr>
              <w:jc w:val="center"/>
              <w:rPr>
                <w:b/>
              </w:rPr>
            </w:pPr>
          </w:p>
        </w:tc>
      </w:tr>
      <w:tr>
        <w:tc>
          <w:tcPr>
            <w:tcW w:w="9345" w:type="dxa"/>
            <w:gridSpan w:val="2"/>
          </w:tcPr>
          <w:p>
            <w:pPr>
              <w:jc w:val="both"/>
              <w:ind w:firstLine="567"/>
            </w:pPr>
            <w:r>
              <w:t xml:space="preserve">Viloyat hokimligi huzuridagi “Yagona buyurtmachi xizmati injiniring kompaniyasi” </w:t>
            </w:r>
            <w:r>
              <w:rPr>
                <w:vanish w:val="false"/>
              </w:rPr>
              <w:fldChar w:fldCharType="begin"/>
              <w:instrText xml:space="preserve">X {"Y":6}</w:instrText>
              <w:fldChar w:fldCharType="separate"/>
            </w:r>
            <w:r>
              <w:rPr>
                <w:vanish w:val="false"/>
              </w:rPr>
              <w:t xml:space="preserve">“Buyurtmachi” tarafning to‘liq nomi va tashkiliy-huquqiy shakli</w:t>
              <w:fldChar w:fldCharType="end"/>
            </w:r>
            <w:r>
              <w:t xml:space="preserve"> filiali (kelgusi oʻrinlarda “Buyurtmachi” deb ataladi) nomidan Nizom asosida faoliyat yurituvchi </w:t>
            </w:r>
            <w:r>
              <w:rPr>
                <w:vanish w:val="false"/>
              </w:rPr>
              <w:fldChar w:fldCharType="begin"/>
              <w:instrText xml:space="preserve">X {"Y":12}</w:instrText>
              <w:fldChar w:fldCharType="separate"/>
            </w:r>
            <w:r>
              <w:rPr>
                <w:vanish w:val="false"/>
              </w:rPr>
              <w:t xml:space="preserve">“Buyurtmachi”  taraf vakilining lavozimi va F.I.Sh.i</w:t>
              <w:fldChar w:fldCharType="end"/>
            </w:r>
            <w:r>
              <w:t xml:space="preserve"> bir tomondan, </w:t>
            </w:r>
            <w:r>
              <w:rPr>
                <w:vanish w:val="false"/>
              </w:rPr>
              <w:fldChar w:fldCharType="begin"/>
              <w:instrText xml:space="preserve">X {"Y":14}</w:instrText>
              <w:fldChar w:fldCharType="separate"/>
            </w:r>
            <w:r>
              <w:rPr>
                <w:vanish w:val="false"/>
              </w:rPr>
              <w:t xml:space="preserve">"Ish bajaruvchi" tarafning to‘liq nomi va tashkiliy-huquqiy shakli</w:t>
              <w:fldChar w:fldCharType="end"/>
            </w:r>
            <w:r>
              <w:t xml:space="preserve"> (keyingi oʻrinlarda “Bajaruvchi” deb ataladi) nomidan Nizom asosida ish yurituvchi </w:t>
            </w:r>
            <w:r>
              <w:rPr>
                <w:vanish w:val="false"/>
              </w:rPr>
              <w:fldChar w:fldCharType="begin"/>
              <w:instrText xml:space="preserve">X {"Y":20}</w:instrText>
              <w:fldChar w:fldCharType="separate"/>
            </w:r>
            <w:r>
              <w:rPr>
                <w:vanish w:val="false"/>
              </w:rPr>
              <w:t xml:space="preserve">"Ish bajaruvchi"tarafning rahbarining lavozimi va F.I.Sh.i</w:t>
              <w:fldChar w:fldCharType="end"/>
            </w:r>
            <w:r>
              <w:t xml:space="preserve"> ikkinchi tomondan quyida koʻrsatilgan obyekt boʻyicha texnik koʻrigidan oʻtkazish va loyiha-smeta hujjatlarini tayyorlash boʻyicha shartnoma tuzdilar:</w:t>
            </w:r>
          </w:p>
          <w:p>
            <w:pPr>
              <w:jc w:val="both"/>
              <w:ind w:firstLine="567"/>
              <w:rPr>
                <w:b/>
              </w:rPr>
            </w:pPr>
          </w:p>
        </w:tc>
      </w:tr>
      <w:tr>
        <w:tc>
          <w:tcPr>
            <w:tcW w:w="9345" w:type="dxa"/>
            <w:gridSpan w:val="2"/>
          </w:tcPr>
          <w:p>
            <w:pPr>
              <w:pStyle w:val="a3"/>
              <w:numPr>
                <w:numId w:val="1"/>
                <w:ilvl w:val="0"/>
              </w:numPr>
              <w:jc w:val="center"/>
              <w:rPr>
                <w:b/>
                <w:rFonts w:ascii="Times New Roman" w:hAnsi="Times New Roman"/>
              </w:rPr>
            </w:pPr>
            <w:r>
              <w:rPr>
                <w:b/>
              </w:rPr>
              <w:t xml:space="preserve">SHARTNOMA PREDMETI</w:t>
            </w:r>
          </w:p>
          <w:p>
            <w:pPr>
              <w:pStyle w:val="a3"/>
              <w:ind w:left="927"/>
            </w:pPr>
          </w:p>
          <w:p>
            <w:pPr>
              <w:pStyle w:val="a3"/>
              <w:jc w:val="both"/>
              <w:ind w:left="0" w:firstLine="567"/>
            </w:pPr>
            <w:r>
              <w:t xml:space="preserve">1.1. </w:t>
            </w:r>
            <w:r>
              <w:rPr>
                <w:vanish w:val="false"/>
              </w:rPr>
              <w:fldChar w:fldCharType="begin"/>
              <w:instrText xml:space="preserve">X {"Y":22}</w:instrText>
              <w:fldChar w:fldCharType="separate"/>
            </w:r>
            <w:r>
              <w:rPr>
                <w:vanish w:val="false"/>
              </w:rPr>
              <w:t xml:space="preserve">Obyekti loyiha-smeta hujjatlarini ishlab chiqish bo‘yicha majlis o‘tkazilgan (bayonnoma tuzilgan) sana</w:t>
              <w:fldChar w:fldCharType="end"/>
            </w:r>
            <w:r>
              <w:t>dagi</w:t>
            </w:r>
            <w:r>
              <w:rPr>
                <w:b/>
              </w:rPr>
              <w:t xml:space="preserve"> </w:t>
            </w:r>
            <w:r>
              <w:rPr>
                <w:vanish w:val="false"/>
              </w:rPr>
              <w:fldChar w:fldCharType="begin"/>
              <w:instrText xml:space="preserve">X {"Y":23}</w:instrText>
              <w:fldChar w:fldCharType="separate"/>
            </w:r>
            <w:r>
              <w:rPr>
                <w:vanish w:val="false"/>
              </w:rPr>
              <w:t xml:space="preserve">Obyekti loyiha-smeta hujjatlarini ishlab chiqish bo‘yicha tuzilgan majlis bayonnomasi raqami</w:t>
              <w:fldChar w:fldCharType="end"/>
            </w:r>
            <w:r>
              <w:t xml:space="preserve">-sonli yigʻilish bayonnomasiga asocan “</w:t>
            </w:r>
            <w:r>
              <w:rPr>
                <w:vanish w:val="false"/>
              </w:rPr>
              <w:fldChar w:fldCharType="begin"/>
              <w:instrText xml:space="preserve">X {"Y":24}</w:instrText>
              <w:fldChar w:fldCharType="separate"/>
            </w:r>
            <w:r>
              <w:rPr>
                <w:vanish w:val="false"/>
              </w:rPr>
              <w:t xml:space="preserve">Loyiha-smeta hujjatlari tayyorlanayotgan obyekt nomi</w:t>
              <w:fldChar w:fldCharType="end"/>
            </w:r>
            <w:r>
              <w:t xml:space="preserve"> obyekti loyiha-smeta hujjatlarini ishlab chiqish va tayyorlashni Bajaruvchi oʻz zimmasiga oladi.</w:t>
            </w:r>
          </w:p>
          <w:p>
            <w:pPr>
              <w:pStyle w:val="a3"/>
              <w:jc w:val="both"/>
              <w:ind w:left="0" w:firstLine="567"/>
            </w:pPr>
            <w:r>
              <w:t xml:space="preserve">1.2. Buyurtmachi loyiha-smeta hujjatlarini ishlab chiqish uchun topshiriq berish, loyiha-smeta hujjatlarini tuzish uchun zarur boʻlgan dastlabki maʼlumotlarni berish, bajarilgan ishlarni qabul qilib olish belgilangan tartibda amalga oshiriladi.</w:t>
            </w:r>
          </w:p>
          <w:p>
            <w:pPr>
              <w:pStyle w:val="a3"/>
              <w:jc w:val="both"/>
              <w:ind w:left="0" w:firstLine="567"/>
            </w:pPr>
            <w:r>
              <w:t xml:space="preserve">1.3. Bajaruvchi loyiha-smeta hujjatlarini amaldagi tartib-qoidalar va meʼyorlarga rioya etgan holda ishlab chiqadi.</w:t>
            </w:r>
          </w:p>
          <w:p>
            <w:pPr>
              <w:pStyle w:val="a3"/>
              <w:jc w:val="both"/>
              <w:ind w:left="0" w:firstLine="567"/>
            </w:pPr>
            <w:r>
              <w:t xml:space="preserve">1.4. Bajariladigan ishlar tartibi, amalga oshirish muddatlari quyidagi tartibda:</w:t>
            </w:r>
          </w:p>
          <w:p>
            <w:pPr>
              <w:pStyle w:val="a3"/>
              <w:jc w:val="both"/>
              <w:ind w:left="0" w:firstLine="567"/>
            </w:pPr>
            <w:r>
              <w:t xml:space="preserve">- bajariladigan ishlar muddatining kalendar rejasi - 1-ilovaga muvofiq;</w:t>
            </w:r>
          </w:p>
          <w:p>
            <w:pPr>
              <w:pStyle w:val="a3"/>
              <w:jc w:val="both"/>
              <w:ind w:left="0" w:firstLine="567"/>
            </w:pPr>
            <w:r>
              <w:t xml:space="preserve">- asoslashtirilgan kelishuv bayonnomasi 2- ilovaga muvofiq;</w:t>
            </w:r>
          </w:p>
          <w:p>
            <w:pPr>
              <w:pStyle w:val="a3"/>
              <w:jc w:val="both"/>
              <w:ind w:left="0" w:firstLine="567"/>
            </w:pPr>
            <w:r>
              <w:t xml:space="preserve">- loyiha ishlarini bajarish smetasi – 3 ilova muvofiq belgilanadi va ushbu shartnomaning ajralmas qismi hisoblanadi.</w:t>
            </w:r>
          </w:p>
          <w:p>
            <w:pPr>
              <w:pStyle w:val="a3"/>
              <w:jc w:val="both"/>
              <w:ind w:left="0" w:firstLine="567"/>
              <w:rPr>
                <w:b/>
                <w:rFonts w:ascii="Times New Roman" w:hAnsi="Times New Roman"/>
              </w:rPr>
            </w:pPr>
          </w:p>
        </w:tc>
      </w:tr>
      <w:tr>
        <w:tc>
          <w:tcPr>
            <w:tcW w:w="9345" w:type="dxa"/>
            <w:gridSpan w:val="2"/>
          </w:tcPr>
          <w:p>
            <w:pPr>
              <w:pStyle w:val="a3"/>
              <w:numPr>
                <w:numId w:val="1"/>
                <w:ilvl w:val="0"/>
              </w:numPr>
              <w:jc w:val="center"/>
              <w:rPr>
                <w:b/>
                <w:rFonts w:ascii="Times New Roman" w:hAnsi="Times New Roman"/>
              </w:rPr>
            </w:pPr>
            <w:r>
              <w:rPr>
                <w:b/>
              </w:rPr>
              <w:t xml:space="preserve">TARAFLARNING  MAJBURIYATLARI </w:t>
            </w:r>
          </w:p>
          <w:p>
            <w:pPr>
              <w:pStyle w:val="a3"/>
              <w:jc w:val="both"/>
              <w:ind w:left="0" w:firstLine="567"/>
            </w:pPr>
          </w:p>
          <w:p>
            <w:pPr>
              <w:pStyle w:val="a3"/>
              <w:jc w:val="both"/>
              <w:ind w:left="567"/>
            </w:pPr>
            <w:r>
              <w:t xml:space="preserve">2.1. </w:t>
            </w:r>
            <w:r>
              <w:rPr>
                <w:b/>
              </w:rPr>
              <w:t xml:space="preserve">Buyurtmachining majburiyatlari:</w:t>
            </w:r>
          </w:p>
          <w:p>
            <w:pPr>
              <w:pStyle w:val="a3"/>
              <w:jc w:val="both"/>
              <w:ind w:left="567"/>
            </w:pPr>
            <w:r>
              <w:t xml:space="preserve">2.2. Bajaruvchi shartnomada koʻzda tutilgan shartlar va tartiblar asosida toʻlovni amalga oshirish. </w:t>
            </w:r>
          </w:p>
          <w:p>
            <w:pPr>
              <w:pStyle w:val="a3"/>
              <w:jc w:val="both"/>
              <w:ind w:left="567"/>
            </w:pPr>
            <w:r>
              <w:t xml:space="preserve">2.3. Tayyor boʻlgan loyiha-smeta amaldagi qonunchilik hujjatlariga muvofiq ravishda qabul qilib olishni taʼminlash majburiyatini oladi.</w:t>
            </w:r>
          </w:p>
          <w:p>
            <w:pPr>
              <w:pStyle w:val="a3"/>
              <w:jc w:val="both"/>
              <w:ind w:left="567"/>
              <w:rPr>
                <w:b/>
                <w:rFonts w:ascii="Times New Roman" w:hAnsi="Times New Roman"/>
              </w:rPr>
            </w:pPr>
            <w:r>
              <w:rPr>
                <w:b/>
              </w:rPr>
              <w:t xml:space="preserve">2.5. Bajaruvchining majburiyatlari:</w:t>
            </w:r>
          </w:p>
          <w:p>
            <w:pPr>
              <w:pStyle w:val="a3"/>
              <w:jc w:val="both"/>
              <w:ind w:left="0" w:firstLine="567"/>
            </w:pPr>
            <w:r>
              <w:t xml:space="preserve">2.6. Bajaruvchi ishlarni texnik topshiriq va kelishilgan grafik asosida oʻz vaqtida sifatli bajarishni, Buyurtmachi bilan bajarilgan ishlarning (bosqichlarning) natijalarini kelishish;</w:t>
            </w:r>
          </w:p>
          <w:p>
            <w:pPr>
              <w:pStyle w:val="a3"/>
              <w:jc w:val="both"/>
              <w:ind w:left="0" w:firstLine="567"/>
            </w:pPr>
            <w:r>
              <w:t xml:space="preserve">2.7. Obyektning qurilish-montaj jarayonida mualliflik nazoratini olib borish ishlari amalga oshirishi shart;</w:t>
            </w:r>
          </w:p>
          <w:p>
            <w:pPr>
              <w:pStyle w:val="a3"/>
              <w:jc w:val="both"/>
              <w:ind w:left="0" w:firstLine="567"/>
            </w:pPr>
            <w:r>
              <w:t xml:space="preserve">2.8. Ushbu shartnoma boʻyicha Bajaruvchi oʻz majburiyatlarini sifatsiz bajarsa, bir haftadan oshmagan muddatda, talab qilingan sifat darajasida oʻz hisobidan qaytadan bajarish majburiyatini oladi.</w:t>
            </w:r>
          </w:p>
          <w:p>
            <w:pPr>
              <w:pStyle w:val="a3"/>
              <w:jc w:val="both"/>
              <w:ind w:left="0" w:firstLine="567"/>
              <w:rPr>
                <w:b/>
                <w:rFonts w:ascii="Times New Roman" w:hAnsi="Times New Roman"/>
              </w:rPr>
            </w:pPr>
          </w:p>
        </w:tc>
      </w:tr>
      <w:tr>
        <w:tc>
          <w:tcPr>
            <w:tcW w:w="9345" w:type="dxa"/>
            <w:gridSpan w:val="2"/>
          </w:tcPr>
          <w:p>
            <w:pPr>
              <w:pStyle w:val="a3"/>
              <w:numPr>
                <w:numId w:val="2"/>
                <w:ilvl w:val="0"/>
              </w:numPr>
              <w:jc w:val="center"/>
              <w:rPr>
                <w:b/>
                <w:rFonts w:ascii="Times New Roman" w:hAnsi="Times New Roman"/>
              </w:rPr>
            </w:pPr>
            <w:r>
              <w:rPr>
                <w:b/>
              </w:rPr>
              <w:t xml:space="preserve">ISHLARNING TOPSHIRISH VA QABUL QILISH TARTIBI</w:t>
            </w:r>
          </w:p>
          <w:p>
            <w:pPr>
              <w:pStyle w:val="a3"/>
              <w:ind w:left="927"/>
              <w:rPr>
                <w:b/>
                <w:rFonts w:ascii="Times New Roman" w:hAnsi="Times New Roman"/>
              </w:rPr>
            </w:pPr>
          </w:p>
          <w:p>
            <w:pPr>
              <w:pStyle w:val="a3"/>
              <w:jc w:val="both"/>
              <w:ind w:left="0" w:firstLine="567"/>
            </w:pPr>
            <w:r>
              <w:t xml:space="preserve">3.1.Quyidagi shartlarning toʻliq amalga oshirilganda taraflar imzolangan shartnoma majburiyatlarning bajarilishi boshlangan hisoblanadi.</w:t>
            </w:r>
          </w:p>
          <w:p>
            <w:pPr>
              <w:pStyle w:val="a3"/>
              <w:jc w:val="both"/>
              <w:ind w:left="0" w:firstLine="567"/>
            </w:pPr>
            <w:r>
              <w:t xml:space="preserve">3.2. Ishlar tugagandan soʻng Bajaruvchi buyurtmachiga ishlarni topshirish va qabul qilish dalolatnomasi bilan 3 nusxada loyiha-smeta hujjatlar toʻplamini topshiradi.</w:t>
            </w:r>
          </w:p>
          <w:p>
            <w:pPr>
              <w:pStyle w:val="a3"/>
              <w:jc w:val="both"/>
              <w:ind w:left="0" w:firstLine="567"/>
            </w:pPr>
            <w:r>
              <w:t xml:space="preserve">3.3. Buyurtmachi ishlarni qabul qilmasligining asosli rad javobini bergan holda zarur boʻlgan qoʻshimcha ishlarning ruyxati va ularning bajarilish muddatlarini koʻrsatgan holda, ikki tomonlama dalolatnoma tuziladi.</w:t>
            </w:r>
          </w:p>
          <w:p>
            <w:pPr>
              <w:pStyle w:val="a3"/>
              <w:jc w:val="both"/>
              <w:ind w:left="0" w:firstLine="567"/>
            </w:pPr>
            <w:r>
              <w:t xml:space="preserve">3.4. Agar ishlarni bajarilish jarayonida uni davom ettirish maqsadga muvofiq emasligi aniqlansa, tomonlar 5 kun muddat ichida uni toʻxtatish bir-birini xabardor qilishi va 15 ish kunida ishlarni davom ettirish maqsadga muvofiq yoki muvofiq emasligi toʻgʻrisidagi masalani koʻrib chiqishi shart. Ishlarning toʻxtalishi tomonlar uchun Oʻzbekiston Respublikasi Fuqarolik kodeksida koʻzda tutilgan oqibatlar va javobgarlikka olib keladi.</w:t>
            </w:r>
          </w:p>
          <w:p>
            <w:pPr>
              <w:pStyle w:val="a3"/>
              <w:jc w:val="both"/>
              <w:ind w:left="0" w:firstLine="567"/>
            </w:pPr>
            <w:r>
              <w:t xml:space="preserve">3.5. Tomonlardan biri mazkur shartnomada koʻzda tutilgan ishlarni toʻxtatish toʻgʻrisida yozma xabar bergan vaqt oʻzaro hisob-kitob qilish vaqti hisoblanadi.</w:t>
            </w:r>
          </w:p>
          <w:p>
            <w:pPr>
              <w:pStyle w:val="a3"/>
              <w:jc w:val="both"/>
              <w:ind w:left="0" w:firstLine="567"/>
              <w:rPr>
                <w:b/>
                <w:rFonts w:ascii="Times New Roman" w:hAnsi="Times New Roman"/>
              </w:rPr>
            </w:pPr>
          </w:p>
        </w:tc>
      </w:tr>
      <w:tr>
        <w:tc>
          <w:tcPr>
            <w:tcW w:w="9345" w:type="dxa"/>
            <w:gridSpan w:val="2"/>
          </w:tcPr>
          <w:p>
            <w:pPr>
              <w:pStyle w:val="a3"/>
              <w:numPr>
                <w:numId w:val="2"/>
                <w:ilvl w:val="0"/>
              </w:numPr>
              <w:jc w:val="center"/>
              <w:rPr>
                <w:b/>
                <w:rFonts w:ascii="Times New Roman" w:hAnsi="Times New Roman"/>
              </w:rPr>
            </w:pPr>
            <w:r>
              <w:rPr>
                <w:b/>
              </w:rPr>
              <w:t xml:space="preserve">SHARTNOMA BAHOSI VA TOʻLOV TARTIBI</w:t>
            </w:r>
          </w:p>
          <w:p>
            <w:pPr>
              <w:pStyle w:val="a3"/>
              <w:ind w:left="927"/>
              <w:rPr>
                <w:b/>
                <w:rFonts w:ascii="Times New Roman" w:hAnsi="Times New Roman"/>
              </w:rPr>
            </w:pPr>
          </w:p>
          <w:p>
            <w:pPr>
              <w:pStyle w:val="a3"/>
              <w:jc w:val="both"/>
              <w:ind w:left="0" w:firstLine="567"/>
            </w:pPr>
            <w:r>
              <w:t xml:space="preserve">4.1. Shartnoma boʻyicha amalga oshiriladigan ishlarning bahosi qoʻshimcha qiymat soligʻi bilan – </w:t>
            </w:r>
            <w:r>
              <w:rPr>
                <w:vanish w:val="false"/>
              </w:rPr>
              <w:fldChar w:fldCharType="begin"/>
              <w:instrText xml:space="preserve">X {"Y":25}</w:instrText>
              <w:fldChar w:fldCharType="separate"/>
            </w:r>
            <w:r>
              <w:rPr>
                <w:vanish w:val="false"/>
              </w:rPr>
              <w:t xml:space="preserve">Shartnoma bo‘yicha amalga oshiriladigan ishlarning bahosi (qo‘shimcha qiymat solig‘i bilan birga) miqdori</w:t>
              <w:fldChar w:fldCharType="end"/>
            </w:r>
            <w:r>
              <w:t xml:space="preserve"> soʻmni tashkil etadi.</w:t>
            </w:r>
          </w:p>
          <w:p>
            <w:pPr>
              <w:pStyle w:val="a3"/>
              <w:jc w:val="both"/>
              <w:ind w:left="0" w:firstLine="567"/>
            </w:pPr>
            <w:r>
              <w:t xml:space="preserve">4.2. Mazkur obyekt boʻyicha toʻlov manzilli dasturga tasdiqlangandan keyin moliyalashtirish manbai aniqlanib, mablagʻ ajratilgandan soʻng toʻlov amalga oshiriladi.</w:t>
            </w:r>
          </w:p>
          <w:p>
            <w:pPr>
              <w:pStyle w:val="a3"/>
              <w:jc w:val="both"/>
              <w:ind w:left="0" w:firstLine="567"/>
            </w:pPr>
            <w:r>
              <w:t xml:space="preserve">4.3. Bajaruvchi tomonidan bajarilgan ishlar uchun moliyalashtiriuvchi organlar tomonidan mablagʻ moliyalashtirilmagan taqdirda “Buyurtmachi” toʻlovni amalga oshira olmaydi.</w:t>
            </w:r>
          </w:p>
          <w:p>
            <w:pPr>
              <w:pStyle w:val="a3"/>
              <w:jc w:val="both"/>
              <w:ind w:left="0" w:firstLine="567"/>
            </w:pPr>
            <w:r>
              <w:t xml:space="preserve">4.4. “Buyurtmachi” shartnoma imzolangandan soʻng shartnoma bahosining 30 % miqdorida boʻnak (avans) toʻlovini amalga oshiradi.</w:t>
            </w:r>
          </w:p>
          <w:p>
            <w:pPr>
              <w:jc w:val="both"/>
              <w:ind w:firstLine="567"/>
            </w:pPr>
            <w:r>
              <w:t xml:space="preserve">4.5. Ishlar qiymati uzil-kesil hisoblanadi. Quyidagi hollarda:</w:t>
            </w:r>
          </w:p>
          <w:p>
            <w:pPr>
              <w:pStyle w:val="a3"/>
              <w:jc w:val="both"/>
              <w:ind w:left="0" w:firstLine="709"/>
              <w:spacing w:after="0" w:line="240" w:lineRule="auto"/>
              <w:contextualSpacing/>
            </w:pPr>
            <w:r>
              <w:t xml:space="preserve">-ishlar qiymati koʻpaytirishga yengib boʻlmaydigan yaʼni (fors-major) holatlari sabab boʻlganda va ishlar Buyurtmachi tomonidan oʻzgartirilganda.</w:t>
            </w:r>
          </w:p>
          <w:p>
            <w:pPr>
              <w:pStyle w:val="a3"/>
              <w:jc w:val="both"/>
              <w:ind w:left="0" w:firstLine="709"/>
              <w:rPr>
                <w:b/>
                <w:rFonts w:ascii="Times New Roman" w:hAnsi="Times New Roman"/>
              </w:rPr>
            </w:pPr>
          </w:p>
        </w:tc>
      </w:tr>
      <w:tr>
        <w:tc>
          <w:tcPr>
            <w:tcW w:w="9345" w:type="dxa"/>
            <w:gridSpan w:val="2"/>
          </w:tcPr>
          <w:p>
            <w:pPr>
              <w:pStyle w:val="a3"/>
              <w:numPr>
                <w:numId w:val="2"/>
                <w:ilvl w:val="0"/>
              </w:numPr>
              <w:jc w:val="center"/>
              <w:rPr>
                <w:b/>
                <w:rFonts w:ascii="Times New Roman" w:hAnsi="Times New Roman"/>
              </w:rPr>
            </w:pPr>
            <w:r>
              <w:rPr>
                <w:b/>
              </w:rPr>
              <w:t xml:space="preserve">TOMONLARNING JAVOBGARLIGI</w:t>
            </w:r>
          </w:p>
          <w:p>
            <w:pPr>
              <w:pStyle w:val="a3"/>
              <w:ind w:left="927"/>
              <w:rPr>
                <w:b/>
                <w:rFonts w:ascii="Times New Roman" w:hAnsi="Times New Roman"/>
              </w:rPr>
            </w:pPr>
          </w:p>
          <w:p>
            <w:pPr>
              <w:pStyle w:val="a3"/>
              <w:jc w:val="both"/>
              <w:ind w:left="0" w:firstLine="567"/>
            </w:pPr>
            <w:r>
              <w:t xml:space="preserve">5.1.Ushbu shartnoma boʻyicha majburiyatlarni taraflar bajarmaganda mazkur shartnomaning amaldagi talablari va Oʻzbekiston Respublikasi Qonun hujjatlariga muvofiq, shuningdek shaharsozlik normalari va qoidalariga muvofiqligi yuzasidan javob beradi.</w:t>
            </w:r>
          </w:p>
          <w:p>
            <w:pPr>
              <w:pStyle w:val="a3"/>
              <w:jc w:val="both"/>
              <w:ind w:left="0" w:firstLine="567"/>
            </w:pPr>
            <w:r>
              <w:t xml:space="preserve">5.2. Bajaruvchi loyiha-smeta hujjatlaridagi kamchiliklar uchun qurilish loyiha-smeta hujjatlarini belgilangan tartibda tasdiqlangunga qadar javob beradi. Loyiha-smeta hujjatlarida kamchiliklar aniqlangan taqdirda Bajaruvchi Buyurtmachining talabi bilan loyiha-smeta hujjatlarini bepul qayta ishlab chiqadi. </w:t>
            </w:r>
          </w:p>
          <w:p>
            <w:pPr>
              <w:pStyle w:val="a3"/>
              <w:jc w:val="both"/>
              <w:ind w:left="0" w:firstLine="567"/>
            </w:pPr>
            <w:r>
              <w:t xml:space="preserve">5.3. Shartnomaga tomonlar roziligi asosida, yozma ravishda oʻzgartirishlar va qoʻshimchalar kiritilishi mumkin.</w:t>
            </w:r>
          </w:p>
          <w:p>
            <w:pPr>
              <w:pStyle w:val="a3"/>
              <w:jc w:val="both"/>
              <w:ind w:left="0" w:firstLine="567"/>
            </w:pPr>
            <w:r>
              <w:t xml:space="preserve">5.4. Mazkur shartnoma boʻyicha nizo kelib chiqqan hollarda, tomonlar kelishuviga erishmagan taqdirda, qonunlarda belgilangan tartibda va iqtisodiy sudga murojaat qilishga haqlidir.</w:t>
            </w:r>
          </w:p>
          <w:p>
            <w:pPr>
              <w:pStyle w:val="a3"/>
              <w:jc w:val="both"/>
              <w:ind w:left="0" w:firstLine="567"/>
            </w:pPr>
            <w:r>
              <w:t xml:space="preserve">5.5. Buyurtmachi tomonidan dastlabki toʻlov va ishlarni topshirilganda shartlashilgan haqi kechiktirilgan har bir kun majburiyatlarning bajarilmagan qismining 0,01 foizi miqdorida Bajaruvchiga penya toʻlaydi, biroq bunda penyaning umumiy summasi bajarilmagan ishlar yoki koʻrsatilgan xizmatlar qiymatining 10 foizidan oshmasligi lozim.</w:t>
            </w:r>
          </w:p>
          <w:p>
            <w:pPr>
              <w:pStyle w:val="a3"/>
              <w:jc w:val="both"/>
              <w:ind w:left="0" w:firstLine="567"/>
            </w:pPr>
            <w:r>
              <w:t xml:space="preserve">5.6. Bajaruvchi tomonidan smeta hujjatlarini tayyorlash oʻz vaqtida bajarilmay majburiyatlar buzilgan boʻlsa Bajaruvchi Buyurtmachiga muddati oʻtkazib yuborilgan har bir kun uchun majbiriyatlarning bajarilmagan qismining 0,01 foizi miqdorida penya toʻlaydi, biroq bunda penyaning umumiy summasi bajarilmagan ishlar yoki koʻrsatilmagan xizmatlar qiymatining 10 foizidan oshmasligi lozim.</w:t>
            </w:r>
          </w:p>
          <w:p>
            <w:pPr>
              <w:pStyle w:val="a3"/>
              <w:jc w:val="both"/>
              <w:ind w:left="0" w:firstLine="567"/>
            </w:pPr>
            <w:r>
              <w:t xml:space="preserve">5.7. Shartnoma “Bajaruvchi”ning tashabbusi bilan bekor qilinganda, shartnoma bekor qilingunga qadar bajarilgan ishlar uchun toʻlangan mablagʻ “Bajaruvchi”ga qaytarilmaydi.  </w:t>
            </w:r>
          </w:p>
          <w:p>
            <w:pPr>
              <w:pStyle w:val="a3"/>
              <w:jc w:val="both"/>
              <w:ind w:left="0" w:firstLine="567"/>
            </w:pPr>
            <w:r>
              <w:t xml:space="preserve">5.8. Shartnoma muddatidan oldin bekor qilish taklifini bildirgan taraf 10 kun oldin muddatda ikkinchi tarafni xabardor qilishi lozim. Bunda taraflar oʻrtasida haqiqatda amalga oshirilgan ishlar boʻyicha belgilangan hujjatlar asosida toʻliq hisob-kitob qilingan holda amalga oshiriladi.</w:t>
            </w:r>
          </w:p>
          <w:p>
            <w:pPr>
              <w:pStyle w:val="a3"/>
              <w:jc w:val="both"/>
              <w:ind w:left="0" w:firstLine="567"/>
            </w:pPr>
            <w:r>
              <w:t xml:space="preserve">Penya toʻlash </w:t>
            </w:r>
          </w:p>
          <w:p>
            <w:pPr>
              <w:pStyle w:val="a3"/>
              <w:jc w:val="both"/>
              <w:ind w:left="0" w:firstLine="567"/>
            </w:pPr>
            <w:r>
              <w:t xml:space="preserve">Bajaruvchining bajarilgan ishlari hajmidan yoki moliyaviy hisob-kitoblardan aniqlangan kamchiliklar natijasida Buyurtmachiga qaytariladigan mablagʻlar va boshqa toʻlovlar boʻyicha majburiyatlarni oʻz vaqtida bajarmasa, Buyurtmachi ushbu mablagʻlarni moliyalashtirish uchun ajratilgan mablagʻlar hisobidan chegirib qolish huquqiga ega. </w:t>
            </w:r>
          </w:p>
          <w:p>
            <w:pPr>
              <w:pStyle w:val="a3"/>
              <w:numPr>
                <w:numId w:val="2"/>
                <w:ilvl w:val="1"/>
              </w:numPr>
              <w:jc w:val="both"/>
            </w:pPr>
            <w:r>
              <w:t xml:space="preserve">Mazkur shartnoma bilan nazarda tutilmagan taraflarning javobgarligi Oʻzbekiston Respublikasining amaldagi hujjatlariga muvofiq belgilanadi.</w:t>
            </w:r>
          </w:p>
          <w:p>
            <w:pPr>
              <w:pStyle w:val="a3"/>
              <w:jc w:val="both"/>
              <w:ind w:left="1077"/>
              <w:rPr>
                <w:b/>
                <w:rFonts w:ascii="Times New Roman" w:hAnsi="Times New Roman"/>
              </w:rPr>
            </w:pPr>
          </w:p>
        </w:tc>
      </w:tr>
      <w:tr>
        <w:tc>
          <w:tcPr>
            <w:tcW w:w="9345" w:type="dxa"/>
            <w:gridSpan w:val="2"/>
          </w:tcPr>
          <w:p>
            <w:pPr>
              <w:pStyle w:val="a3"/>
              <w:numPr>
                <w:numId w:val="2"/>
                <w:ilvl w:val="0"/>
              </w:numPr>
              <w:jc w:val="center"/>
              <w:rPr>
                <w:b/>
                <w:rFonts w:ascii="Times New Roman" w:hAnsi="Times New Roman"/>
              </w:rPr>
            </w:pPr>
            <w:r>
              <w:rPr>
                <w:b/>
              </w:rPr>
              <w:t xml:space="preserve">FORS-MAJOR VA NIZOLARNI HAL QILISH TARTIBI</w:t>
            </w:r>
          </w:p>
          <w:p>
            <w:pPr>
              <w:pStyle w:val="a3"/>
              <w:ind w:left="927"/>
              <w:rPr>
                <w:b/>
                <w:rFonts w:ascii="Times New Roman" w:hAnsi="Times New Roman"/>
              </w:rPr>
            </w:pPr>
          </w:p>
          <w:p>
            <w:pPr>
              <w:pStyle w:val="a3"/>
              <w:jc w:val="both"/>
              <w:ind w:left="0" w:firstLine="567"/>
            </w:pPr>
            <w:r>
              <w:t xml:space="preserve">6.1. Taraflar ixtiyoriga bogʻliq boʻlmagan, ularni oldindan bilish yoki oldini olish imkoniyati boʻlmagan holatlar (yengib boʻlmas kuch), epidemiya va h.k. oqibatida majburiyatlarni bajarmaganlik yoki lozim darajada bajarmaganlik uchun taraflardan birortasi ikkinchi taraf oldida javobgar boʻlmaydi.</w:t>
            </w:r>
          </w:p>
          <w:p>
            <w:pPr>
              <w:pStyle w:val="a3"/>
              <w:jc w:val="both"/>
              <w:ind w:left="0" w:firstLine="567"/>
            </w:pPr>
            <w:r>
              <w:t xml:space="preserve">6.2. Ushbu shartnoma boʻyicha yoki u bilan bogʻliq holda taraflar oʻrtasida kelib chiqadigan barcha nizolar va ziddiyatlar muzokaralar olib borish yoʻli bilan hal etiladi.</w:t>
            </w:r>
          </w:p>
          <w:p>
            <w:pPr>
              <w:pStyle w:val="a3"/>
              <w:jc w:val="both"/>
              <w:ind w:left="0" w:firstLine="567"/>
              <w:rPr>
                <w:b/>
                <w:rFonts w:ascii="Times New Roman" w:hAnsi="Times New Roman"/>
              </w:rPr>
            </w:pPr>
            <w:r>
              <w:t xml:space="preserve">6.3. Muzokoralar olib borish yoʻli bilan ziddiyatlarni hal qilishga erishilmagan taqdirda, mazkur shartnomaning tuzilishi, uning shartlarini oʻzgarishi, buzilishi, ijro etilishi, bekor boʻlishi, tugatilishi va haqiqiyligi yuzasidan kelib chiquvchi barcha nizolar, kelishmovchiliklar va talablar Iqtisodiy sudida koʻrib chiqiladi. </w:t>
            </w:r>
          </w:p>
          <w:p>
            <w:pPr>
              <w:pStyle w:val="a3"/>
              <w:jc w:val="both"/>
              <w:ind w:left="0" w:firstLine="567"/>
              <w:rPr>
                <w:b/>
                <w:rFonts w:ascii="Times New Roman" w:hAnsi="Times New Roman"/>
              </w:rPr>
            </w:pPr>
          </w:p>
        </w:tc>
      </w:tr>
      <w:tr>
        <w:tc>
          <w:tcPr>
            <w:tcW w:w="9345" w:type="dxa"/>
            <w:gridSpan w:val="2"/>
          </w:tcPr>
          <w:p>
            <w:pPr>
              <w:pStyle w:val="a3"/>
              <w:numPr>
                <w:numId w:val="2"/>
                <w:ilvl w:val="0"/>
              </w:numPr>
              <w:jc w:val="center"/>
              <w:rPr>
                <w:b/>
                <w:rFonts w:ascii="Times New Roman" w:hAnsi="Times New Roman"/>
              </w:rPr>
            </w:pPr>
            <w:r>
              <w:rPr>
                <w:b/>
              </w:rPr>
              <w:t xml:space="preserve">SHARTNOMANI OʻZGARTIRISH VA UNGA QOʻSHIMCHALAR KIRITISH</w:t>
            </w:r>
          </w:p>
          <w:p>
            <w:pPr>
              <w:pStyle w:val="a3"/>
              <w:ind w:left="927"/>
              <w:rPr>
                <w:b/>
                <w:rFonts w:ascii="Times New Roman" w:hAnsi="Times New Roman"/>
              </w:rPr>
            </w:pPr>
          </w:p>
          <w:p>
            <w:pPr>
              <w:ind w:firstLine="567"/>
            </w:pPr>
            <w:r>
              <w:t xml:space="preserve">7.1. Ushbu shartnoma imzolangan kundan boshlab kuchga kiradi va u oʻz zimmasiga olingan majburiyatlarni toʻliq bajargunga qadar amal qiladi.</w:t>
            </w:r>
          </w:p>
          <w:p>
            <w:pPr>
              <w:jc w:val="both"/>
              <w:ind w:firstLine="567"/>
              <w:rPr>
                <w:b/>
              </w:rPr>
            </w:pPr>
            <w:r>
              <w:t xml:space="preserve">7.2. Ushbu shartnoma boʻyicha toʻlov manzilliy  dasturiga kiritilib, ushbu obyekt boʻyicha hisob raqami ochilganidan keyin, hisob raqamiga mablagʻ ajratilgandan soʻng toʻlovlar amalga oshiriladi. </w:t>
            </w:r>
            <w:r>
              <w:rPr>
                <w:b/>
              </w:rPr>
              <w:t xml:space="preserve"> </w:t>
            </w:r>
          </w:p>
          <w:p>
            <w:pPr>
              <w:jc w:val="both"/>
              <w:ind w:firstLine="567"/>
              <w:rPr>
                <w:b/>
              </w:rPr>
            </w:pPr>
          </w:p>
        </w:tc>
      </w:tr>
      <w:tr>
        <w:tc>
          <w:tcPr>
            <w:tcW w:w="9345" w:type="dxa"/>
            <w:gridSpan w:val="2"/>
          </w:tcPr>
          <w:p>
            <w:pPr>
              <w:pStyle w:val="a3"/>
              <w:numPr>
                <w:numId w:val="2"/>
                <w:ilvl w:val="0"/>
              </w:numPr>
              <w:jc w:val="center"/>
              <w:rPr>
                <w:b/>
                <w:rFonts w:ascii="Times New Roman" w:hAnsi="Times New Roman"/>
              </w:rPr>
            </w:pPr>
            <w:r>
              <w:rPr>
                <w:b/>
              </w:rPr>
              <w:t xml:space="preserve">TOMONLARNING MANZILLI VA HISOB RAQAMLARI</w:t>
            </w:r>
          </w:p>
          <w:p>
            <w:pPr>
              <w:pStyle w:val="a3"/>
              <w:ind w:left="927"/>
              <w:rPr>
                <w:b/>
                <w:rFonts w:ascii="Times New Roman" w:hAnsi="Times New Roman"/>
              </w:rPr>
            </w:pPr>
          </w:p>
        </w:tc>
      </w:tr>
      <w:tr>
        <w:tc>
          <w:tcPr>
            <w:tcW w:w="4674" w:type="dxa"/>
          </w:tcPr>
          <w:p>
            <w:pPr>
              <w:pStyle w:val="a6"/>
              <w:jc w:val="center"/>
              <w:rPr>
                <w:b/>
                <w:rFonts w:ascii="Times New Roman" w:hAnsi="Times New Roman"/>
              </w:rPr>
            </w:pPr>
            <w:r>
              <w:rPr>
                <w:b/>
                <w:sz w:val="24"/>
                <w:rFonts w:ascii="Times New Roman" w:hAnsi="Times New Roman"/>
              </w:rPr>
              <w:t>“BUYURTMACHI”</w:t>
            </w:r>
          </w:p>
        </w:tc>
        <w:tc>
          <w:tcPr>
            <w:tcW w:w="4671" w:type="dxa"/>
          </w:tcPr>
          <w:p>
            <w:pPr>
              <w:jc w:val="center"/>
              <w:rPr>
                <w:b/>
              </w:rPr>
            </w:pPr>
            <w:r>
              <w:rPr>
                <w:b/>
              </w:rPr>
              <w:t xml:space="preserve">“ISH BAJARUVCHI”</w:t>
            </w:r>
          </w:p>
        </w:tc>
      </w:tr>
      <w:tr>
        <w:tc>
          <w:tcPr>
            <w:tcW w:w="4674" w:type="dxa"/>
          </w:tcPr>
          <w:p>
            <w:r>
              <w:rPr>
                <w:vanish w:val="false"/>
              </w:rPr>
              <w:fldChar w:fldCharType="begin"/>
              <w:instrText xml:space="preserve">X {"Y":6}</w:instrText>
              <w:fldChar w:fldCharType="separate"/>
            </w:r>
            <w:r>
              <w:rPr>
                <w:vanish w:val="false"/>
              </w:rPr>
              <w:t xml:space="preserve">“Buyurtmachi” tarafning to‘liq nomi va tashkiliy-huquqiy shakli</w:t>
              <w:fldChar w:fldCharType="end"/>
            </w:r>
          </w:p>
        </w:tc>
        <w:tc>
          <w:tcPr>
            <w:tcW w:w="4671" w:type="dxa"/>
          </w:tcPr>
          <w:p>
            <w:r>
              <w:rPr>
                <w:vanish w:val="false"/>
              </w:rPr>
              <w:fldChar w:fldCharType="begin"/>
              <w:instrText xml:space="preserve">X {"Y":14}</w:instrText>
              <w:fldChar w:fldCharType="separate"/>
            </w:r>
            <w:r>
              <w:rPr>
                <w:vanish w:val="false"/>
              </w:rPr>
              <w:t xml:space="preserve">"Ish bajaruvchi" tarafning to‘liq nomi va tashkiliy-huquqiy shakli</w:t>
              <w:fldChar w:fldCharType="end"/>
            </w:r>
          </w:p>
        </w:tc>
      </w:tr>
      <w:tr>
        <w:tc>
          <w:tcPr>
            <w:tcW w:w="4674" w:type="dxa"/>
          </w:tcPr>
          <w:p>
            <w:r>
              <w:t xml:space="preserve">Manzili: </w:t>
            </w:r>
            <w:r>
              <w:rPr>
                <w:vanish w:val="false"/>
              </w:rPr>
              <w:fldChar w:fldCharType="begin"/>
              <w:instrText xml:space="preserve">X {"Y":7}</w:instrText>
              <w:fldChar w:fldCharType="separate"/>
            </w:r>
            <w:r>
              <w:rPr>
                <w:vanish w:val="false"/>
              </w:rPr>
              <w:t xml:space="preserve">“Buyurtmachi” tarafning manzili </w:t>
              <w:fldChar w:fldCharType="end"/>
            </w:r>
          </w:p>
        </w:tc>
        <w:tc>
          <w:tcPr>
            <w:tcW w:w="4671" w:type="dxa"/>
          </w:tcPr>
          <w:p>
            <w:r>
              <w:t xml:space="preserve">Manzili: </w:t>
            </w:r>
            <w:r>
              <w:rPr>
                <w:vanish w:val="false"/>
              </w:rPr>
              <w:fldChar w:fldCharType="begin"/>
              <w:instrText xml:space="preserve">X {"Y":15}</w:instrText>
              <w:fldChar w:fldCharType="separate"/>
            </w:r>
            <w:r>
              <w:rPr>
                <w:vanish w:val="false"/>
              </w:rPr>
              <w:t xml:space="preserve">"Ish bajaruvchi" tarafning manzili</w:t>
              <w:fldChar w:fldCharType="end"/>
            </w:r>
          </w:p>
        </w:tc>
      </w:tr>
      <w:tr>
        <w:tc>
          <w:tcPr>
            <w:tcW w:w="4674" w:type="dxa"/>
          </w:tcPr>
          <w:p>
            <w:r>
              <w:t xml:space="preserve">Hisob raqami: </w:t>
            </w:r>
            <w:r>
              <w:rPr>
                <w:vanish w:val="false"/>
              </w:rPr>
              <w:fldChar w:fldCharType="begin"/>
              <w:instrText xml:space="preserve">X {"Y":8}</w:instrText>
              <w:fldChar w:fldCharType="separate"/>
            </w:r>
            <w:r>
              <w:rPr>
                <w:vanish w:val="false"/>
              </w:rPr>
              <w:t xml:space="preserve">“Buyurtmachi”  tarafning hisob raqami</w:t>
              <w:fldChar w:fldCharType="end"/>
            </w:r>
          </w:p>
        </w:tc>
        <w:tc>
          <w:tcPr>
            <w:tcW w:w="4671" w:type="dxa"/>
          </w:tcPr>
          <w:p>
            <w:r>
              <w:t xml:space="preserve">Hisob raqami: </w:t>
            </w:r>
            <w:r>
              <w:rPr>
                <w:vanish w:val="false"/>
              </w:rPr>
              <w:fldChar w:fldCharType="begin"/>
              <w:instrText xml:space="preserve">X {"Y":16}</w:instrText>
              <w:fldChar w:fldCharType="separate"/>
            </w:r>
            <w:r>
              <w:rPr>
                <w:vanish w:val="false"/>
              </w:rPr>
              <w:t xml:space="preserve">"Ish bajaruvchi" tarafning hisob raqami</w:t>
              <w:fldChar w:fldCharType="end"/>
            </w:r>
          </w:p>
        </w:tc>
      </w:tr>
      <w:tr>
        <w:tc>
          <w:tcPr>
            <w:tcW w:w="4674" w:type="dxa"/>
          </w:tcPr>
          <w:p>
            <w:r>
              <w:t xml:space="preserve">STIR raqami: </w:t>
            </w:r>
            <w:r>
              <w:rPr>
                <w:vanish w:val="false"/>
              </w:rPr>
              <w:fldChar w:fldCharType="begin"/>
              <w:instrText xml:space="preserve">X {"Y":9}</w:instrText>
              <w:fldChar w:fldCharType="separate"/>
            </w:r>
            <w:r>
              <w:rPr>
                <w:vanish w:val="false"/>
              </w:rPr>
              <w:t xml:space="preserve">“Buyurtmachi”  tarafning STIR raqami</w:t>
              <w:fldChar w:fldCharType="end"/>
            </w:r>
          </w:p>
        </w:tc>
        <w:tc>
          <w:tcPr>
            <w:tcW w:w="4671" w:type="dxa"/>
          </w:tcPr>
          <w:p>
            <w:r>
              <w:t xml:space="preserve">STIR raqami: </w:t>
            </w:r>
            <w:r>
              <w:rPr>
                <w:vanish w:val="false"/>
              </w:rPr>
              <w:fldChar w:fldCharType="begin"/>
              <w:instrText xml:space="preserve">X {"Y":17}</w:instrText>
              <w:fldChar w:fldCharType="separate"/>
            </w:r>
            <w:r>
              <w:rPr>
                <w:vanish w:val="false"/>
              </w:rPr>
              <w:t xml:space="preserve">"Ish bajaruvchi" tarafning STIR raqami</w:t>
              <w:fldChar w:fldCharType="end"/>
            </w:r>
          </w:p>
        </w:tc>
      </w:tr>
      <w:tr>
        <w:tc>
          <w:tcPr>
            <w:tcW w:w="4674" w:type="dxa"/>
          </w:tcPr>
          <w:p>
            <w:r>
              <w:t xml:space="preserve">MFO raqami: </w:t>
            </w:r>
            <w:r>
              <w:rPr>
                <w:vanish w:val="false"/>
              </w:rPr>
              <w:fldChar w:fldCharType="begin"/>
              <w:instrText xml:space="preserve">X {"Y":10}</w:instrText>
              <w:fldChar w:fldCharType="separate"/>
            </w:r>
            <w:r>
              <w:rPr>
                <w:vanish w:val="false"/>
              </w:rPr>
              <w:t xml:space="preserve">“Buyurtmachi”  tarafning MFO raqami</w:t>
              <w:fldChar w:fldCharType="end"/>
            </w:r>
          </w:p>
        </w:tc>
        <w:tc>
          <w:tcPr>
            <w:tcW w:w="4671" w:type="dxa"/>
          </w:tcPr>
          <w:p>
            <w:r>
              <w:t xml:space="preserve">MFO raqami: </w:t>
            </w:r>
            <w:r>
              <w:rPr>
                <w:vanish w:val="false"/>
              </w:rPr>
              <w:fldChar w:fldCharType="begin"/>
              <w:instrText xml:space="preserve">X {"Y":18}</w:instrText>
              <w:fldChar w:fldCharType="separate"/>
            </w:r>
            <w:r>
              <w:rPr>
                <w:vanish w:val="false"/>
              </w:rPr>
              <w:t xml:space="preserve">"Ish bajaruvchi" tarafning MFO raqami</w:t>
              <w:fldChar w:fldCharType="end"/>
            </w:r>
          </w:p>
        </w:tc>
      </w:tr>
      <w:tr>
        <w:tc>
          <w:tcPr>
            <w:tcW w:w="4674" w:type="dxa"/>
          </w:tcPr>
          <w:p>
            <w:r>
              <w:t xml:space="preserve">OKED raqami: </w:t>
            </w:r>
            <w:r>
              <w:rPr>
                <w:vanish w:val="false"/>
              </w:rPr>
              <w:fldChar w:fldCharType="begin"/>
              <w:instrText xml:space="preserve">X {"Y":11}</w:instrText>
              <w:fldChar w:fldCharType="separate"/>
            </w:r>
            <w:r>
              <w:rPr>
                <w:vanish w:val="false"/>
              </w:rPr>
              <w:t xml:space="preserve">“Buyurtmachi”  tarafning OKED raqami</w:t>
              <w:fldChar w:fldCharType="end"/>
            </w:r>
          </w:p>
        </w:tc>
        <w:tc>
          <w:tcPr>
            <w:tcW w:w="4671" w:type="dxa"/>
          </w:tcPr>
          <w:p>
            <w:r>
              <w:t xml:space="preserve">OKED raqami: </w:t>
            </w:r>
            <w:r>
              <w:rPr>
                <w:vanish w:val="false"/>
              </w:rPr>
              <w:fldChar w:fldCharType="begin"/>
              <w:instrText xml:space="preserve">X {"Y":19}</w:instrText>
              <w:fldChar w:fldCharType="separate"/>
            </w:r>
            <w:r>
              <w:rPr>
                <w:vanish w:val="false"/>
              </w:rPr>
              <w:t xml:space="preserve">"Ish bajaruvchi" tarafning OKED raqami</w:t>
              <w:fldChar w:fldCharType="end"/>
            </w:r>
          </w:p>
        </w:tc>
      </w:tr>
      <w:tr>
        <w:tc>
          <w:tcPr>
            <w:tcW w:w="4674" w:type="dxa"/>
          </w:tcPr>
          <w:p>
            <w:r>
              <w:rPr>
                <w:vanish w:val="false"/>
              </w:rPr>
              <w:fldChar w:fldCharType="begin"/>
              <w:instrText xml:space="preserve">X {"Y":12}</w:instrText>
              <w:fldChar w:fldCharType="separate"/>
            </w:r>
            <w:r>
              <w:rPr>
                <w:vanish w:val="false"/>
              </w:rPr>
              <w:t xml:space="preserve">“Buyurtmachi”  taraf vakilining lavozimi va F.I.Sh.i</w:t>
              <w:fldChar w:fldCharType="end"/>
            </w:r>
          </w:p>
        </w:tc>
        <w:tc>
          <w:tcPr>
            <w:tcW w:w="4671" w:type="dxa"/>
          </w:tcPr>
          <w:p>
            <w:r>
              <w:rPr>
                <w:vanish w:val="false"/>
              </w:rPr>
              <w:fldChar w:fldCharType="begin"/>
              <w:instrText xml:space="preserve">X {"Y":20}</w:instrText>
              <w:fldChar w:fldCharType="separate"/>
            </w:r>
            <w:r>
              <w:rPr>
                <w:vanish w:val="false"/>
              </w:rPr>
              <w:t xml:space="preserve">"Ish bajaruvchi"tarafning rahbarining lavozimi va F.I.Sh.i</w:t>
              <w:fldChar w:fldCharType="end"/>
            </w:r>
          </w:p>
        </w:tc>
      </w:tr>
      <w:tr>
        <w:tc>
          <w:tcPr>
            <w:tcW w:w="4674" w:type="dxa"/>
          </w:tcPr>
          <w:p>
            <w:pPr>
              <w:jc w:val="center"/>
            </w:pPr>
            <w:r>
              <w:t>_____________</w:t>
            </w:r>
          </w:p>
          <w:p>
            <w:pPr>
              <w:jc w:val="center"/>
            </w:pPr>
            <w:r>
              <w:t xml:space="preserve">(imzo, muhr)</w:t>
            </w:r>
          </w:p>
        </w:tc>
        <w:tc>
          <w:tcPr>
            <w:tcW w:w="4671" w:type="dxa"/>
          </w:tcPr>
          <w:p>
            <w:pPr>
              <w:jc w:val="center"/>
            </w:pPr>
            <w:r>
              <w:t>______________</w:t>
            </w:r>
          </w:p>
          <w:p>
            <w:pPr>
              <w:jc w:val="center"/>
            </w:pPr>
            <w:r>
              <w:t xml:space="preserve">(imzo, muhr)</w:t>
            </w:r>
          </w:p>
        </w:tc>
      </w:tr>
    </w:tbl>
    <w:p>
      <w:pPr>
        <w:jc w:val="center"/>
      </w:pPr>
    </w:p>
    <w:p/>
    <w:p>
      <w:pPr>
        <w:rPr>
          <w:b/>
        </w:rPr>
      </w:pPr>
      <w:r>
        <w:rPr>
          <w:b/>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76645"/>
    <w:multiLevelType w:val="multilevel"/>
    <w:tmpl w:val="9D647E38"/>
    <w:lvl w:ilvl="0">
      <w:start w:val="3"/>
      <w:numFmt w:val="decimal"/>
      <w:lvlText w:val="%1."/>
      <w:lvlJc w:val="left"/>
      <w:pPr>
        <w:ind w:left="927" w:hanging="360"/>
      </w:pPr>
      <w:rPr>
        <w:rFonts w:hint="default"/>
      </w:rPr>
    </w:lvl>
    <w:lvl w:ilvl="1">
      <w:start w:val="9"/>
      <w:numFmt w:val="decimal"/>
      <w:isLgl/>
      <w:lvlText w:val="%1.%2."/>
      <w:lvlJc w:val="left"/>
      <w:pPr>
        <w:ind w:left="1077" w:hanging="51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7D11F3B"/>
    <w:multiLevelType w:val="multilevel"/>
    <w:tmpl w:val="72884096"/>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 w15:restartNumberingAfterBreak="0">
    <w:nsid w:val="3F165D0E"/>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476C3FEA"/>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4C971032"/>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A89"/>
    <w:rsid w:val="000251CC"/>
    <w:rsid w:val="000C7653"/>
    <w:rsid w:val="00115ABD"/>
    <w:rsid w:val="00175508"/>
    <w:rsid w:val="00186959"/>
    <w:rsid w:val="001D148E"/>
    <w:rsid w:val="00296560"/>
    <w:rsid w:val="002E1A89"/>
    <w:rsid w:val="00302B7B"/>
    <w:rsid w:val="00317DE3"/>
    <w:rsid w:val="0042717A"/>
    <w:rsid w:val="004B4013"/>
    <w:rsid w:val="00500E35"/>
    <w:rsid w:val="00512AE3"/>
    <w:rsid w:val="005D60B1"/>
    <w:rsid w:val="005D7D8D"/>
    <w:rsid w:val="005F1D90"/>
    <w:rsid w:val="0065124C"/>
    <w:rsid w:val="006A0AC9"/>
    <w:rsid w:val="006B7C1E"/>
    <w:rsid w:val="007677B0"/>
    <w:rsid w:val="007947FB"/>
    <w:rsid w:val="007E4427"/>
    <w:rsid w:val="00827102"/>
    <w:rsid w:val="00921A6F"/>
    <w:rsid w:val="009D2716"/>
    <w:rsid w:val="00A33405"/>
    <w:rsid w:val="00A7056E"/>
    <w:rsid w:val="00C1235A"/>
    <w:rsid w:val="00CA59DA"/>
    <w:rsid w:val="00CA75D9"/>
    <w:rsid w:val="00E8303C"/>
    <w:rsid w:val="00F36B47"/>
    <w:rsid w:val="00F5532B"/>
    <w:rsid w:val="00F65A32"/>
    <w:rsid w:val="00F85E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FC9F9"/>
  <w15:chartTrackingRefBased/>
  <w15:docId w15:val="{6FCE2B0A-16F3-4DBB-BD55-3C9F5F2D3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32B"/>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1,Recommendation,List Paragraph11,Bulleted List Paragraph,Bullets,ADB List Paragraph,Colorful List - Accent 11,Paragraph,CPS,List_Paragraph,Multilevel para_II,data item,Bullet list,Numbered Paragraph,# pharagraph,Dot pt"/>
    <w:basedOn w:val="a"/>
    <w:link w:val="a4"/>
    <w:uiPriority w:val="34"/>
    <w:qFormat/>
    <w:rsid w:val="00F5532B"/>
    <w:pPr>
      <w:ind w:left="720"/>
      <w:contextualSpacing/>
    </w:pPr>
  </w:style>
  <w:style w:type="table" w:styleId="a5">
    <w:name w:val="Table Grid"/>
    <w:basedOn w:val="a1"/>
    <w:uiPriority w:val="59"/>
    <w:rsid w:val="00F55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Plain Text"/>
    <w:basedOn w:val="a"/>
    <w:link w:val="a7"/>
    <w:rsid w:val="00F5532B"/>
    <w:rPr>
      <w:rFonts w:ascii="Courier New" w:eastAsia="Times New Roman" w:hAnsi="Courier New"/>
      <w:sz w:val="20"/>
      <w:szCs w:val="20"/>
      <w:lang w:eastAsia="uz-Cyrl-UZ"/>
    </w:rPr>
  </w:style>
  <w:style w:type="character" w:customStyle="1" w:styleId="a7">
    <w:name w:val="Текст Знак"/>
    <w:basedOn w:val="a0"/>
    <w:link w:val="a6"/>
    <w:rsid w:val="00F5532B"/>
    <w:rPr>
      <w:rFonts w:ascii="Courier New" w:eastAsia="Times New Roman" w:hAnsi="Courier New" w:cs="Times New Roman"/>
      <w:sz w:val="20"/>
      <w:szCs w:val="20"/>
      <w:lang w:eastAsia="uz-Cyrl-UZ"/>
    </w:rPr>
  </w:style>
  <w:style w:type="character" w:customStyle="1" w:styleId="a4">
    <w:name w:val="Абзац списка Знак"/>
    <w:aliases w:val="List Paragraph1 Знак,Recommendation Знак,List Paragraph11 Знак,Bulleted List Paragraph Знак,Bullets Знак,ADB List Paragraph Знак,Colorful List - Accent 11 Знак,Paragraph Знак,CPS Знак,List_Paragraph Знак,Multilevel para_II Знак"/>
    <w:link w:val="a3"/>
    <w:uiPriority w:val="34"/>
    <w:qFormat/>
    <w:locked/>
    <w:rsid w:val="000C7653"/>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4</Pages>
  <Words>1371</Words>
  <Characters>7817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Adolat2</dc:creator>
  <cp:keywords/>
  <dc:description/>
  <cp:lastModifiedBy>User</cp:lastModifiedBy>
  <cp:revision>32</cp:revision>
  <dcterms:created xsi:type="dcterms:W3CDTF">2021-12-06T06:12:00Z</dcterms:created>
  <dcterms:modified xsi:type="dcterms:W3CDTF">2021-12-07T07:53:00Z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“Buyurtmachi”  bo‘yicha maʼlumot</w:name>
    <w:value w:hidden="true">
      <w:unit w:active="false"/>
    </w:value>
  </w:element>
  <w:element w:id="6" w:kind="variable" w:selector="check" w:type="string" w:valueMode="normal" w:required="false" w:groupID="5">
    <w:identifier xml:space="preserve">ID6</w:identifier>
    <w:name xml:space="preserve">“Buyurtmachi” tarafning to‘liq nomi va tashkiliy-huquqiy shakli</w:name>
    <w:value w:hidden="false">
      <w:unit w:active="false"/>
    </w:value>
  </w:element>
  <w:element w:id="7" w:kind="variable" w:selector="check" w:type="string" w:valueMode="normal" w:required="false" w:groupID="5">
    <w:identifier xml:space="preserve">ID7</w:identifier>
    <w:name xml:space="preserve">“Buyurtmachi” tarafning manzili </w:name>
    <w:value w:hidden="false">
      <w:unit w:active="false"/>
    </w:value>
  </w:element>
  <w:element w:id="8" w:kind="variable" w:selector="check" w:type="string" w:valueMode="normal" w:required="false" w:groupID="5">
    <w:identifier xml:space="preserve">ID8</w:identifier>
    <w:name xml:space="preserve">“Buyurtmachi”  tarafning hisob raqami</w:name>
    <w:value w:hidden="false">
      <w:unit w:active="false"/>
    </w:value>
  </w:element>
  <w:element w:id="9" w:kind="variable" w:selector="check" w:type="string" w:valueMode="normal" w:required="false" w:groupID="5">
    <w:identifier xml:space="preserve">ID9</w:identifier>
    <w:name xml:space="preserve">“Buyurtmachi”  tarafning STIR raqami</w:name>
    <w:value w:hidden="false">
      <w:unit w:active="false"/>
    </w:value>
  </w:element>
  <w:element w:id="10" w:kind="variable" w:selector="check" w:type="string" w:valueMode="normal" w:required="false" w:groupID="5">
    <w:identifier xml:space="preserve">ID10</w:identifier>
    <w:name xml:space="preserve">“Buyurtmachi”  tarafning MFO raqami</w:name>
    <w:value w:hidden="false">
      <w:unit w:active="false"/>
    </w:value>
  </w:element>
  <w:element w:id="11" w:kind="variable" w:selector="check" w:type="string" w:valueMode="normal" w:required="false" w:groupID="5">
    <w:identifier xml:space="preserve">ID11</w:identifier>
    <w:name xml:space="preserve">“Buyurtmachi”  tarafning OKED raqami</w:name>
    <w:value w:hidden="false">
      <w:unit w:active="false"/>
    </w:value>
  </w:element>
  <w:element w:id="12" w:kind="variable" w:selector="check" w:type="string" w:valueMode="normal" w:required="false" w:groupID="5">
    <w:identifier xml:space="preserve">ID12</w:identifier>
    <w:name xml:space="preserve">“Buyurtmachi”  taraf vakilining lavozimi va F.I.Sh.i</w:name>
    <w:value w:hidden="false">
      <w:unit w:active="false"/>
    </w:value>
  </w:element>
  <w:element w:id="13" w:kind="category" w:selector="check" w:type="string" w:valueMode="normal" w:required="false">
    <w:identifier xml:space="preserve">ID13</w:identifier>
    <w:name xml:space="preserve">"Ish bajaruvchi" bo‘yicha maʼlumot</w:name>
    <w:value w:hidden="true">
      <w:unit w:active="false"/>
    </w:value>
  </w:element>
  <w:element w:id="14" w:kind="variable" w:selector="check" w:type="string" w:valueMode="normal" w:required="false" w:groupID="13">
    <w:identifier xml:space="preserve">ID14</w:identifier>
    <w:name xml:space="preserve">"Ish bajaruvchi" tarafning to‘liq nomi va tashkiliy-huquqiy shakli</w:name>
    <w:value w:hidden="false">
      <w:unit w:active="false"/>
    </w:value>
  </w:element>
  <w:element w:id="15" w:kind="variable" w:selector="check" w:type="string" w:valueMode="normal" w:required="false" w:groupID="13">
    <w:identifier xml:space="preserve">ID15</w:identifier>
    <w:name xml:space="preserve">"Ish bajaruvchi" tarafning manzili</w:name>
    <w:value w:hidden="false">
      <w:unit w:active="false"/>
    </w:value>
  </w:element>
  <w:element w:id="16" w:kind="variable" w:selector="check" w:type="string" w:valueMode="normal" w:required="false" w:groupID="13">
    <w:identifier xml:space="preserve">ID16</w:identifier>
    <w:name xml:space="preserve">"Ish bajaruvchi" tarafning hisob raqami</w:name>
    <w:value w:hidden="false">
      <w:unit w:active="false"/>
    </w:value>
  </w:element>
  <w:element w:id="17" w:kind="variable" w:selector="check" w:type="string" w:valueMode="normal" w:required="false" w:groupID="13">
    <w:identifier xml:space="preserve">ID17</w:identifier>
    <w:name xml:space="preserve">"Ish bajaruvchi" tarafning STIR raqami</w:name>
    <w:value w:hidden="false">
      <w:unit w:active="false"/>
    </w:value>
  </w:element>
  <w:element w:id="18" w:kind="variable" w:selector="check" w:type="string" w:valueMode="normal" w:required="false" w:groupID="13">
    <w:identifier xml:space="preserve">ID18</w:identifier>
    <w:name xml:space="preserve">"Ish bajaruvchi" tarafning MFO raqami</w:name>
    <w:value w:hidden="false">
      <w:unit w:active="false"/>
    </w:value>
  </w:element>
  <w:element w:id="19" w:kind="variable" w:selector="check" w:type="string" w:valueMode="normal" w:required="false" w:groupID="13">
    <w:identifier xml:space="preserve">ID19</w:identifier>
    <w:name xml:space="preserve">"Ish bajaruvchi" tarafning OKED raqami</w:name>
    <w:value w:hidden="false">
      <w:unit w:active="false"/>
    </w:value>
  </w:element>
  <w:element w:id="20" w:kind="variable" w:selector="check" w:type="string" w:valueMode="normal" w:required="false" w:groupID="13">
    <w:identifier xml:space="preserve">ID20</w:identifier>
    <w:name xml:space="preserve">"Ish bajaruvchi"tarafning rahbarining lavozimi va F.I.Sh.i</w:name>
    <w:value w:hidden="false">
      <w:unit w:active="false"/>
    </w:value>
  </w:element>
  <w:element w:id="21" w:kind="category" w:selector="check" w:type="string" w:valueMode="normal" w:required="false">
    <w:identifier xml:space="preserve">ID21</w:identifier>
    <w:name xml:space="preserve">Shartnoma mavzusi</w:name>
    <w:value w:hidden="true">
      <w:unit w:active="false"/>
    </w:value>
  </w:element>
  <w:element w:id="22" w:kind="variable" w:selector="check" w:type="date" w:valueMode="normal" w:required="false" w:groupID="21">
    <w:identifier xml:space="preserve">ID22</w:identifier>
    <w:name xml:space="preserve">Obyekti loyiha-smeta hujjatlarini ishlab chiqish bo‘yicha majlis o‘tkazilgan (bayonnoma tuzilgan) sana</w:name>
    <w:value w:hidden="false">
      <w:unit w:active="false"/>
    </w:value>
  </w:element>
  <w:element w:id="23" w:kind="variable" w:selector="check" w:type="string" w:valueMode="normal" w:required="false" w:groupID="21">
    <w:identifier xml:space="preserve">ID23</w:identifier>
    <w:name xml:space="preserve">Obyekti loyiha-smeta hujjatlarini ishlab chiqish bo‘yicha tuzilgan majlis bayonnomasi raqami</w:name>
    <w:value w:hidden="false">
      <w:unit w:active="false"/>
    </w:value>
  </w:element>
  <w:element w:id="24" w:kind="variable" w:selector="check" w:type="string" w:valueMode="normal" w:required="false" w:groupID="21">
    <w:identifier xml:space="preserve">ID24</w:identifier>
    <w:name xml:space="preserve">Loyiha-smeta hujjatlari tayyorlanayotgan obyekt nomi</w:name>
    <w:value w:hidden="false">
      <w:unit w:active="false"/>
    </w:value>
  </w:element>
  <w:element w:id="25" w:kind="variable" w:selector="check" w:type="string" w:valueMode="normal" w:required="false" w:groupID="21">
    <w:identifier xml:space="preserve">ID25</w:identifier>
    <w:name xml:space="preserve">Shartnoma bo‘yicha amalga oshiriladigan ishlarning bahosi (qo‘shimcha qiymat solig‘i bilan birga) miqdori</w:name>
    <w:value w:hidden="false">
      <w:unit w:active="false"/>
    </w:value>
  </w:element>
</w:structure>
</file>