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sz w:val="28"/>
        </w:rPr>
      </w:pPr>
    </w:p>
    <w:tbl>
      <w:tblPr>
        <w:tblStyle w:val="aa"/>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03"/>
        <w:gridCol w:w="3103"/>
        <w:gridCol w:w="3149"/>
      </w:tblGrid>
      <w:tr>
        <w:tc>
          <w:tcPr>
            <w:tcW w:w="3190" w:type="dxa"/>
          </w:tcPr>
          <w:p>
            <w:pPr>
              <w:pStyle w:val="consplusnonformat"/>
              <w:jc w:val="right"/>
              <w:spacing w:before="0" w:after="0" w:line="276" w:lineRule="auto"/>
              <w:rPr>
                <w:sz w:val="28"/>
                <w:rFonts w:ascii="Times New Roman" w:hAnsi="Times New Roman"/>
              </w:rPr>
            </w:pPr>
          </w:p>
        </w:tc>
        <w:tc>
          <w:tcPr>
            <w:tcW w:w="3190" w:type="dxa"/>
          </w:tcPr>
          <w:p>
            <w:pPr>
              <w:pStyle w:val="consplusnonformat"/>
              <w:jc w:val="right"/>
              <w:spacing w:before="0" w:after="0" w:line="276" w:lineRule="auto"/>
              <w:rPr>
                <w:sz w:val="28"/>
                <w:rFonts w:ascii="Times New Roman" w:hAnsi="Times New Roman"/>
              </w:rPr>
            </w:pPr>
          </w:p>
        </w:tc>
        <w:tc>
          <w:tcPr>
            <w:tcW w:w="3191" w:type="dxa"/>
          </w:tcPr>
          <w:p>
            <w:pPr>
              <w:pStyle w:val="consplusnonformat"/>
              <w:shd w:fill="ffffff"/>
              <w:spacing w:before="0" w:after="0" w:line="276" w:lineRule="auto"/>
              <w:rPr>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Daʼvo ariza berilgan sud nomi</w:t>
              <w:fldChar w:fldCharType="end"/>
            </w:r>
            <w:r>
              <w:rPr>
                <w:color w:val="000000"/>
                <w:sz w:val="28"/>
              </w:rPr>
              <w:t>ga</w:t>
            </w:r>
          </w:p>
        </w:tc>
      </w:tr>
      <w:tr>
        <w:tc>
          <w:tcPr>
            <w:tcW w:w="3190" w:type="dxa"/>
          </w:tcPr>
          <w:p>
            <w:pPr>
              <w:pStyle w:val="consplusnonformat"/>
              <w:jc w:val="right"/>
              <w:spacing w:before="0" w:after="0" w:line="276" w:lineRule="auto"/>
              <w:rPr>
                <w:sz w:val="28"/>
                <w:rFonts w:ascii="Times New Roman" w:hAnsi="Times New Roman"/>
              </w:rPr>
            </w:pPr>
          </w:p>
        </w:tc>
        <w:tc>
          <w:tcPr>
            <w:tcW w:w="3190" w:type="dxa"/>
          </w:tcPr>
          <w:p>
            <w:pPr>
              <w:pStyle w:val="consplusnonformat"/>
              <w:jc w:val="right"/>
              <w:spacing w:before="0" w:after="0" w:line="276" w:lineRule="auto"/>
              <w:rPr>
                <w:sz w:val="28"/>
                <w:rFonts w:ascii="Times New Roman" w:hAnsi="Times New Roman"/>
              </w:rPr>
            </w:pPr>
          </w:p>
        </w:tc>
        <w:tc>
          <w:tcPr>
            <w:tcW w:w="3191" w:type="dxa"/>
          </w:tcPr>
          <w:p>
            <w:pPr>
              <w:pStyle w:val="consplusnonformat"/>
              <w:spacing w:before="0" w:after="0" w:line="276" w:lineRule="auto"/>
              <w:rPr>
                <w:sz w:val="28"/>
                <w:rFonts w:ascii="Times New Roman" w:hAnsi="Times New Roman"/>
              </w:rPr>
            </w:pPr>
            <w:r>
              <w:rPr>
                <w:b/>
                <w:color w:val="000000"/>
                <w:sz w:val="28"/>
              </w:rPr>
              <w:t xml:space="preserve">Da’vogar: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Daʼvogarning F.I.O.</w:t>
              <w:fldChar w:fldCharType="end"/>
            </w:r>
          </w:p>
        </w:tc>
      </w:tr>
      <w:tr>
        <w:tc>
          <w:tcPr>
            <w:tcW w:w="3190" w:type="dxa"/>
          </w:tcPr>
          <w:p>
            <w:pPr>
              <w:pStyle w:val="consplusnonformat"/>
              <w:jc w:val="right"/>
              <w:spacing w:before="0" w:after="0" w:line="276" w:lineRule="auto"/>
              <w:rPr>
                <w:sz w:val="28"/>
                <w:rFonts w:ascii="Times New Roman" w:hAnsi="Times New Roman"/>
              </w:rPr>
            </w:pPr>
          </w:p>
        </w:tc>
        <w:tc>
          <w:tcPr>
            <w:tcW w:w="3190" w:type="dxa"/>
          </w:tcPr>
          <w:p>
            <w:pPr>
              <w:pStyle w:val="consplusnonformat"/>
              <w:jc w:val="right"/>
              <w:spacing w:before="0" w:after="0" w:line="276" w:lineRule="auto"/>
              <w:rPr>
                <w:sz w:val="28"/>
                <w:rFonts w:ascii="Times New Roman" w:hAnsi="Times New Roman"/>
              </w:rPr>
            </w:pPr>
          </w:p>
        </w:tc>
        <w:tc>
          <w:tcPr>
            <w:tcW w:w="3191" w:type="dxa"/>
          </w:tcPr>
          <w:p>
            <w:pPr>
              <w:pStyle w:val="consplusnonformat"/>
              <w:spacing w:before="0" w:after="0" w:line="276" w:lineRule="auto"/>
              <w:rPr>
                <w:sz w:val="28"/>
                <w:rFonts w:ascii="Times New Roman" w:hAnsi="Times New Roman"/>
              </w:rPr>
            </w:pPr>
            <w:r>
              <w:rPr>
                <w:rStyle w:val="structures"/>
                <w:color w:val="000000"/>
                <w:sz w:val="28"/>
                <w:rFonts w:ascii="Times New Roman" w:hAnsi="Times New Roman"/>
              </w:rPr>
              <w:t xml:space="preserve">Manzil: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Daʼvogarning yashash manzili</w:t>
              <w:fldChar w:fldCharType="end"/>
            </w:r>
          </w:p>
        </w:tc>
      </w:tr>
      <w:tr>
        <w:tc>
          <w:tcPr>
            <w:tcW w:w="3190" w:type="dxa"/>
          </w:tcPr>
          <w:p>
            <w:pPr>
              <w:pStyle w:val="consplusnonformat"/>
              <w:jc w:val="right"/>
              <w:spacing w:before="0" w:after="0" w:line="276" w:lineRule="auto"/>
              <w:rPr>
                <w:sz w:val="28"/>
                <w:rFonts w:ascii="Times New Roman" w:hAnsi="Times New Roman"/>
              </w:rPr>
            </w:pPr>
          </w:p>
        </w:tc>
        <w:tc>
          <w:tcPr>
            <w:tcW w:w="3190" w:type="dxa"/>
          </w:tcPr>
          <w:p>
            <w:pPr>
              <w:pStyle w:val="consplusnonformat"/>
              <w:jc w:val="right"/>
              <w:spacing w:before="0" w:after="0" w:line="276" w:lineRule="auto"/>
              <w:rPr>
                <w:sz w:val="28"/>
                <w:rFonts w:ascii="Times New Roman" w:hAnsi="Times New Roman"/>
              </w:rPr>
            </w:pPr>
          </w:p>
        </w:tc>
        <w:tc>
          <w:tcPr>
            <w:tcW w:w="3191" w:type="dxa"/>
          </w:tcPr>
          <w:p>
            <w:pPr>
              <w:pStyle w:val="consplusnonformat"/>
              <w:spacing w:before="0" w:after="0" w:line="276" w:lineRule="auto"/>
              <w:rPr>
                <w:sz w:val="28"/>
                <w:rFonts w:ascii="Times New Roman" w:hAnsi="Times New Roman"/>
              </w:rPr>
            </w:pPr>
            <w:r>
              <w:rPr>
                <w:rStyle w:val="structures"/>
                <w:color w:val="000000"/>
                <w:sz w:val="28"/>
                <w:rFonts w:ascii="Times New Roman" w:hAnsi="Times New Roman"/>
              </w:rPr>
              <w:t xml:space="preserve">Telefon raqami: </w:t>
            </w:r>
            <w:r>
              <w:rPr>
                <w:rStyle w:val="structures"/>
                <w:vanish w:val="false"/>
                <w:color w:val="000000"/>
                <w:sz w:val="28"/>
                <w:rFonts w:ascii="Times New Roman" w:hAnsi="Times New Roman"/>
              </w:rPr>
              <w:fldChar w:fldCharType="begin"/>
              <w:instrText xml:space="preserve">X {"Y":5}</w:instrText>
              <w:fldChar w:fldCharType="separate"/>
            </w:r>
            <w:r>
              <w:rPr>
                <w:rStyle w:val="structures"/>
                <w:vanish w:val="false"/>
                <w:color w:val="000000"/>
                <w:sz w:val="28"/>
                <w:rFonts w:ascii="Times New Roman" w:hAnsi="Times New Roman"/>
              </w:rPr>
              <w:t xml:space="preserve">Daʼvogarning telefon raqami</w:t>
              <w:fldChar w:fldCharType="end"/>
            </w:r>
          </w:p>
        </w:tc>
      </w:tr>
      <w:tr>
        <w:tc>
          <w:tcPr>
            <w:tcW w:w="3190" w:type="dxa"/>
          </w:tcPr>
          <w:p>
            <w:pPr>
              <w:pStyle w:val="consplusnonformat"/>
              <w:jc w:val="right"/>
              <w:spacing w:before="0" w:after="0" w:line="276" w:lineRule="auto"/>
              <w:rPr>
                <w:sz w:val="28"/>
                <w:rFonts w:ascii="Times New Roman" w:hAnsi="Times New Roman"/>
              </w:rPr>
            </w:pPr>
          </w:p>
        </w:tc>
        <w:tc>
          <w:tcPr>
            <w:tcW w:w="3190" w:type="dxa"/>
          </w:tcPr>
          <w:p>
            <w:pPr>
              <w:pStyle w:val="consplusnonformat"/>
              <w:jc w:val="right"/>
              <w:spacing w:before="0" w:after="0" w:line="276" w:lineRule="auto"/>
              <w:rPr>
                <w:sz w:val="28"/>
                <w:rFonts w:ascii="Times New Roman" w:hAnsi="Times New Roman"/>
              </w:rPr>
            </w:pPr>
          </w:p>
        </w:tc>
        <w:tc>
          <w:tcPr>
            <w:tcW w:w="3191" w:type="dxa"/>
          </w:tcPr>
          <w:p>
            <w:pPr>
              <w:pStyle w:val="consplusnonformat"/>
              <w:spacing w:before="0" w:after="0" w:line="276" w:lineRule="auto"/>
              <w:rPr>
                <w:sz w:val="28"/>
                <w:rFonts w:ascii="Times New Roman" w:hAnsi="Times New Roman"/>
              </w:rPr>
            </w:pPr>
            <w:r>
              <w:rPr>
                <w:rStyle w:val="structures"/>
                <w:color w:val="000000"/>
                <w:sz w:val="28"/>
                <w:rFonts w:ascii="Times New Roman" w:hAnsi="Times New Roman"/>
              </w:rPr>
              <w:t xml:space="preserve">Pochta: </w:t>
            </w:r>
            <w:r>
              <w:rPr>
                <w:rStyle w:val="structures"/>
                <w:vanish w:val="false"/>
                <w:color w:val="000000"/>
                <w:sz w:val="28"/>
                <w:rFonts w:ascii="Times New Roman" w:hAnsi="Times New Roman"/>
              </w:rPr>
              <w:fldChar w:fldCharType="begin"/>
              <w:instrText xml:space="preserve">X {"Y":6}</w:instrText>
              <w:fldChar w:fldCharType="separate"/>
            </w:r>
            <w:r>
              <w:rPr>
                <w:rStyle w:val="structures"/>
                <w:vanish w:val="false"/>
                <w:color w:val="000000"/>
                <w:sz w:val="28"/>
                <w:rFonts w:ascii="Times New Roman" w:hAnsi="Times New Roman"/>
              </w:rPr>
              <w:t xml:space="preserve">Daʼvogarning elektron manzili</w:t>
              <w:fldChar w:fldCharType="end"/>
            </w:r>
          </w:p>
        </w:tc>
      </w:tr>
      <w:tr>
        <w:tc>
          <w:tcPr>
            <w:tcW w:w="3190" w:type="dxa"/>
          </w:tcPr>
          <w:p>
            <w:pPr>
              <w:pStyle w:val="consplusnonformat"/>
              <w:jc w:val="right"/>
              <w:spacing w:before="0" w:after="0" w:line="276" w:lineRule="auto"/>
              <w:rPr>
                <w:sz w:val="28"/>
                <w:rFonts w:ascii="Times New Roman" w:hAnsi="Times New Roman"/>
              </w:rPr>
            </w:pPr>
          </w:p>
        </w:tc>
        <w:tc>
          <w:tcPr>
            <w:tcW w:w="3190" w:type="dxa"/>
          </w:tcPr>
          <w:p>
            <w:pPr>
              <w:pStyle w:val="consplusnonformat"/>
              <w:jc w:val="right"/>
              <w:spacing w:before="0" w:after="0" w:line="276" w:lineRule="auto"/>
              <w:rPr>
                <w:sz w:val="28"/>
                <w:rFonts w:ascii="Times New Roman" w:hAnsi="Times New Roman"/>
              </w:rPr>
            </w:pPr>
          </w:p>
        </w:tc>
        <w:tc>
          <w:tcPr>
            <w:tcW w:w="3191" w:type="dxa"/>
          </w:tcPr>
          <w:p>
            <w:pPr>
              <w:pStyle w:val="consplusnonformat"/>
              <w:spacing w:before="0" w:after="0" w:line="276" w:lineRule="auto"/>
              <w:rPr>
                <w:sz w:val="28"/>
                <w:rFonts w:ascii="Times New Roman" w:hAnsi="Times New Roman"/>
              </w:rPr>
            </w:pPr>
            <w:r>
              <w:rPr>
                <w:b/>
                <w:color w:val="000000"/>
                <w:sz w:val="28"/>
              </w:rPr>
              <w:t>Javobgar:</w:t>
            </w:r>
            <w:r>
              <w:rPr>
                <w:color w:val="000000"/>
                <w:sz w:val="28"/>
              </w:rPr>
              <w:t xml:space="preserve"> </w:t>
            </w:r>
            <w:r>
              <w:rPr>
                <w:rStyle w:val="structures"/>
                <w:vanish w:val="false"/>
                <w:color w:val="000000"/>
                <w:sz w:val="28"/>
                <w:rFonts w:ascii="Times New Roman" w:hAnsi="Times New Roman"/>
              </w:rPr>
              <w:fldChar w:fldCharType="begin"/>
              <w:instrText xml:space="preserve">X {"Y":7}</w:instrText>
              <w:fldChar w:fldCharType="separate"/>
            </w:r>
            <w:r>
              <w:rPr>
                <w:rStyle w:val="structures"/>
                <w:vanish w:val="false"/>
                <w:color w:val="000000"/>
                <w:sz w:val="28"/>
                <w:rFonts w:ascii="Times New Roman" w:hAnsi="Times New Roman"/>
              </w:rPr>
              <w:t xml:space="preserve">Javobgarning F.I.O.</w:t>
              <w:fldChar w:fldCharType="end"/>
            </w:r>
          </w:p>
        </w:tc>
      </w:tr>
      <w:tr>
        <w:tc>
          <w:tcPr>
            <w:tcW w:w="3190" w:type="dxa"/>
          </w:tcPr>
          <w:p>
            <w:pPr>
              <w:pStyle w:val="consplusnonformat"/>
              <w:jc w:val="right"/>
              <w:spacing w:before="0" w:after="0" w:line="276" w:lineRule="auto"/>
              <w:rPr>
                <w:sz w:val="28"/>
                <w:rFonts w:ascii="Times New Roman" w:hAnsi="Times New Roman"/>
              </w:rPr>
            </w:pPr>
          </w:p>
        </w:tc>
        <w:tc>
          <w:tcPr>
            <w:tcW w:w="3190" w:type="dxa"/>
          </w:tcPr>
          <w:p>
            <w:pPr>
              <w:pStyle w:val="consplusnonformat"/>
              <w:jc w:val="right"/>
              <w:spacing w:before="0" w:after="0" w:line="276" w:lineRule="auto"/>
              <w:rPr>
                <w:sz w:val="28"/>
                <w:rFonts w:ascii="Times New Roman" w:hAnsi="Times New Roman"/>
              </w:rPr>
            </w:pPr>
          </w:p>
        </w:tc>
        <w:tc>
          <w:tcPr>
            <w:tcW w:w="3191" w:type="dxa"/>
          </w:tcPr>
          <w:p>
            <w:pPr>
              <w:pStyle w:val="consplusnonformat"/>
              <w:spacing w:before="0" w:after="0" w:line="276" w:lineRule="auto"/>
              <w:rPr>
                <w:sz w:val="28"/>
                <w:rFonts w:ascii="Times New Roman" w:hAnsi="Times New Roman"/>
              </w:rPr>
            </w:pPr>
            <w:r>
              <w:rPr>
                <w:rStyle w:val="structures"/>
                <w:color w:val="000000"/>
                <w:sz w:val="28"/>
                <w:rFonts w:ascii="Times New Roman" w:hAnsi="Times New Roman"/>
              </w:rPr>
              <w:t xml:space="preserve">Manzil: </w:t>
            </w:r>
            <w:r>
              <w:rPr>
                <w:rStyle w:val="structures"/>
                <w:vanish w:val="false"/>
                <w:color w:val="000000"/>
                <w:sz w:val="28"/>
                <w:rFonts w:ascii="Times New Roman" w:hAnsi="Times New Roman"/>
              </w:rPr>
              <w:fldChar w:fldCharType="begin"/>
              <w:instrText xml:space="preserve">X {"Y":8}</w:instrText>
              <w:fldChar w:fldCharType="separate"/>
            </w:r>
            <w:r>
              <w:rPr>
                <w:rStyle w:val="structures"/>
                <w:vanish w:val="false"/>
                <w:color w:val="000000"/>
                <w:sz w:val="28"/>
                <w:rFonts w:ascii="Times New Roman" w:hAnsi="Times New Roman"/>
              </w:rPr>
              <w:t xml:space="preserve">Javobgarning yashash manzili</w:t>
              <w:fldChar w:fldCharType="end"/>
            </w:r>
          </w:p>
        </w:tc>
      </w:tr>
      <w:tr>
        <w:tc>
          <w:tcPr>
            <w:tcW w:w="3190" w:type="dxa"/>
          </w:tcPr>
          <w:p>
            <w:pPr>
              <w:pStyle w:val="consplusnonformat"/>
              <w:jc w:val="right"/>
              <w:spacing w:before="0" w:after="0" w:line="276" w:lineRule="auto"/>
              <w:rPr>
                <w:sz w:val="28"/>
                <w:rFonts w:ascii="Times New Roman" w:hAnsi="Times New Roman"/>
              </w:rPr>
            </w:pPr>
          </w:p>
        </w:tc>
        <w:tc>
          <w:tcPr>
            <w:tcW w:w="3190" w:type="dxa"/>
          </w:tcPr>
          <w:p>
            <w:pPr>
              <w:pStyle w:val="consplusnonformat"/>
              <w:jc w:val="right"/>
              <w:spacing w:before="0" w:after="0" w:line="276" w:lineRule="auto"/>
              <w:rPr>
                <w:sz w:val="28"/>
                <w:rFonts w:ascii="Times New Roman" w:hAnsi="Times New Roman"/>
              </w:rPr>
            </w:pPr>
          </w:p>
        </w:tc>
        <w:tc>
          <w:tcPr>
            <w:tcW w:w="3191" w:type="dxa"/>
          </w:tcPr>
          <w:p>
            <w:pPr>
              <w:pStyle w:val="consplusnonformat"/>
              <w:spacing w:before="0" w:after="0" w:line="276" w:lineRule="auto"/>
              <w:rPr>
                <w:sz w:val="28"/>
                <w:rFonts w:ascii="Times New Roman" w:hAnsi="Times New Roman"/>
              </w:rPr>
            </w:pPr>
            <w:r>
              <w:rPr>
                <w:rStyle w:val="structures"/>
                <w:color w:val="000000"/>
                <w:sz w:val="28"/>
                <w:rFonts w:ascii="Times New Roman" w:hAnsi="Times New Roman"/>
              </w:rPr>
              <w:t xml:space="preserve">Telefon raqami: </w:t>
            </w:r>
            <w:r>
              <w:rPr>
                <w:rStyle w:val="structures"/>
                <w:vanish w:val="false"/>
                <w:color w:val="000000"/>
                <w:sz w:val="28"/>
                <w:rFonts w:ascii="Times New Roman" w:hAnsi="Times New Roman"/>
              </w:rPr>
              <w:fldChar w:fldCharType="begin"/>
              <w:instrText xml:space="preserve">X {"Y":9}</w:instrText>
              <w:fldChar w:fldCharType="separate"/>
            </w:r>
            <w:r>
              <w:rPr>
                <w:rStyle w:val="structures"/>
                <w:vanish w:val="false"/>
                <w:color w:val="000000"/>
                <w:sz w:val="28"/>
                <w:rFonts w:ascii="Times New Roman" w:hAnsi="Times New Roman"/>
              </w:rPr>
              <w:t xml:space="preserve">Javobgarning telefon raqami</w:t>
              <w:fldChar w:fldCharType="end"/>
            </w:r>
          </w:p>
        </w:tc>
      </w:tr>
      <w:tr>
        <w:tc>
          <w:tcPr>
            <w:tcW w:w="3190" w:type="dxa"/>
          </w:tcPr>
          <w:p>
            <w:pPr>
              <w:pStyle w:val="consplusnonformat"/>
              <w:jc w:val="right"/>
              <w:spacing w:before="0" w:after="0" w:line="276" w:lineRule="auto"/>
              <w:rPr>
                <w:sz w:val="28"/>
                <w:rFonts w:ascii="Times New Roman" w:hAnsi="Times New Roman"/>
              </w:rPr>
            </w:pPr>
          </w:p>
        </w:tc>
        <w:tc>
          <w:tcPr>
            <w:tcW w:w="3190" w:type="dxa"/>
          </w:tcPr>
          <w:p>
            <w:pPr>
              <w:pStyle w:val="consplusnonformat"/>
              <w:jc w:val="right"/>
              <w:spacing w:before="0" w:after="0" w:line="276" w:lineRule="auto"/>
              <w:rPr>
                <w:sz w:val="28"/>
                <w:rFonts w:ascii="Times New Roman" w:hAnsi="Times New Roman"/>
              </w:rPr>
            </w:pPr>
          </w:p>
        </w:tc>
        <w:tc>
          <w:tcPr>
            <w:tcW w:w="3191" w:type="dxa"/>
          </w:tcPr>
          <w:p>
            <w:pPr>
              <w:pStyle w:val="consplusnonformat"/>
              <w:spacing w:before="0" w:after="0" w:line="276" w:lineRule="auto"/>
              <w:rPr>
                <w:sz w:val="28"/>
                <w:rFonts w:ascii="Times New Roman" w:hAnsi="Times New Roman"/>
              </w:rPr>
            </w:pPr>
            <w:r>
              <w:rPr>
                <w:rStyle w:val="structures"/>
                <w:color w:val="000000"/>
                <w:sz w:val="28"/>
                <w:rFonts w:ascii="Times New Roman" w:hAnsi="Times New Roman"/>
              </w:rPr>
              <w:t xml:space="preserve">Pochta: </w:t>
            </w:r>
            <w:r>
              <w:rPr>
                <w:rStyle w:val="structures"/>
                <w:vanish w:val="false"/>
                <w:color w:val="000000"/>
                <w:sz w:val="28"/>
                <w:rFonts w:ascii="Times New Roman" w:hAnsi="Times New Roman"/>
              </w:rPr>
              <w:fldChar w:fldCharType="begin"/>
              <w:instrText xml:space="preserve">X {"Y":10}</w:instrText>
              <w:fldChar w:fldCharType="separate"/>
            </w:r>
            <w:r>
              <w:rPr>
                <w:rStyle w:val="structures"/>
                <w:vanish w:val="false"/>
                <w:color w:val="000000"/>
                <w:sz w:val="28"/>
                <w:rFonts w:ascii="Times New Roman" w:hAnsi="Times New Roman"/>
              </w:rPr>
              <w:t xml:space="preserve">Javobgarning elektron manzili</w:t>
              <w:fldChar w:fldCharType="end"/>
            </w:r>
          </w:p>
        </w:tc>
      </w:tr>
    </w:tbl>
    <w:p>
      <w:pPr>
        <w:pStyle w:val="consplusnonformat"/>
        <w:jc w:val="right"/>
        <w:shd w:fill="ffffff"/>
        <w:ind w:firstLine="360"/>
        <w:spacing w:before="0" w:after="0" w:line="276" w:lineRule="auto"/>
        <w:rPr>
          <w:sz w:val="28"/>
          <w:rFonts w:ascii="Times New Roman" w:hAnsi="Times New Roman"/>
        </w:rPr>
      </w:pPr>
    </w:p>
    <w:p>
      <w:pPr>
        <w:pStyle w:val="consplusnonformat"/>
        <w:shd w:fill="ffffff"/>
        <w:spacing w:before="0" w:after="0" w:line="276" w:lineRule="auto"/>
        <w:rPr>
          <w:sz w:val="28"/>
          <w:rFonts w:ascii="Times New Roman" w:hAnsi="Times New Roman"/>
        </w:rPr>
      </w:pPr>
    </w:p>
    <w:p>
      <w:pPr>
        <w:pStyle w:val="a5"/>
        <w:jc w:val="center"/>
        <w:shd w:fill="ffffff"/>
        <w:ind w:firstLine="540"/>
        <w:spacing w:before="0" w:after="0" w:line="276" w:lineRule="auto"/>
        <w:rPr>
          <w:b/>
          <w:color w:val="000000"/>
          <w:sz w:val="28"/>
          <w:rFonts w:ascii="Times New Roman" w:hAnsi="Times New Roman"/>
        </w:rPr>
      </w:pPr>
      <w:r>
        <w:rPr>
          <w:b/>
          <w:color w:val="000000"/>
          <w:sz w:val="28"/>
        </w:rPr>
        <w:t xml:space="preserve">Da’vo ariza</w:t>
      </w:r>
    </w:p>
    <w:p>
      <w:pPr>
        <w:pStyle w:val="a5"/>
        <w:jc w:val="center"/>
        <w:shd w:fill="ffffff"/>
        <w:ind w:firstLine="540"/>
        <w:spacing w:before="0" w:after="0" w:line="276" w:lineRule="auto"/>
        <w:rPr>
          <w:color w:val="000000"/>
          <w:sz w:val="28"/>
          <w:rFonts w:ascii="Times New Roman" w:hAnsi="Times New Roman"/>
        </w:rPr>
      </w:pPr>
      <w:r>
        <w:rPr>
          <w:color w:val="000000"/>
          <w:sz w:val="28"/>
        </w:rPr>
        <w:t xml:space="preserve">(Ma’muriy huquqbuzarlik natijasida yetkazilgan zararni undirish to‘g‘risida)</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Ma’lumki, O‘zbekiston Respublikasining Fuqarolik kodeksining </w:t>
        <w:br/>
        <w:t xml:space="preserve">14-moddasida agar qonun yoki shartnomada zararni kamroq miqdorda to‘lash nazarda tutilmagan bo‘lsa, huquqi buzilgan shaxs o‘ziga yetkazilgan zararning to‘la qoplanishini talab qilishi mumkin.</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Zarar deganda, huquqi buzilgan shaxsning buzilgan huquqini tiklash uchun qilgan yoki qilishi lozim bo‘lgan xarajatlari, uning mol-mulki yo‘qolishi yoki shikastlanishi (haqiqiy zarar), shuningdek bu shaxs o‘z huquqlari buzilmaganida odatdagi fuqarolik muomalasi sharoitida olishi mumkin bo‘lgan, lekin ololmay qolgan daromadlari (boy berilgan foyda) tushuniladi.</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Agar huquqni buzgan shaxs buning natijasida daromad olgan bo‘lsa, huquqi buzilgan shaxs boshqa zarar bilan bir qatorda boy berilgan foyda bunday daromaddan kam bo‘lmagan miqdorda to‘lanishini talab qilishga haqli ekanligi ko‘rsatilgan.</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Basharti ma’muriy huquqbuzarlik sodir etish oqibatida jismoniy shaxsga, korxona, muassasa, tashkilotga, fuqarolarning o‘zini o‘zi boshqarish organi yoki davlatga yetkazilgan mulkiy zarar belgilab qo‘yilgan bazaviy hisoblash miqdoridan ko‘p bo‘lmasa, organ (mansabdor shaxs) jazo qo‘llanish paytida aybdor bu zararni qoplashi to‘g‘risidagi masalani ham hal etishga haqlidir, jinoyat ishlari bo‘yicha sud esa — bu masalani yetkazilgan zarar miqdoridan qat’i nazar hal qilaveradi.</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Menga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Zarar yetkazilishiga olib kelgan maʼmuriy  huquqbuzarlik sodir etgan shaxsning F.I.Sh</w:t>
        <w:fldChar w:fldCharType="end"/>
      </w:r>
      <w:r>
        <w:rPr>
          <w:color w:val="000000"/>
          <w:sz w:val="28"/>
        </w:rPr>
        <w:t xml:space="preserve"> tomonidan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Zarar yetkazilishiga olib kelgan maʼmuriy  huquqbuzarlikning nomi, vaqti va hujjat raqami (agar hujjat bilan rasmiylashtirilgan bo‘lsa)</w:t>
        <w:fldChar w:fldCharType="end"/>
      </w:r>
      <w:r>
        <w:rPr>
          <w:color w:val="000000"/>
          <w:sz w:val="28"/>
        </w:rPr>
        <w:t xml:space="preserve"> natijasida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Zarar miqdori</w:t>
        <w:fldChar w:fldCharType="end"/>
      </w:r>
      <w:r>
        <w:rPr>
          <w:color w:val="000000"/>
          <w:sz w:val="28"/>
        </w:rPr>
        <w:t xml:space="preserve"> so‘m miqdorida zarar yetdi.</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Ushbu zararni oldini olish uchun o‘z hisobimdan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Zararni oldini olish uchun sarflangan mablag‘ miqdori</w:t>
        <w:fldChar w:fldCharType="end"/>
      </w:r>
      <w:r>
        <w:rPr>
          <w:color w:val="000000"/>
          <w:sz w:val="28"/>
        </w:rPr>
        <w:t xml:space="preserve"> so‘m mablag‘ sarfladim.</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O‘zbekiston Respublikasining Ma’muriy javobgarlik to‘g‘risidagi kodeksi 38-moddasining birinchi qismiga ko‘rsa, ma’muriy huquqbuzarlik sodir etgan shaxs ma’muriy huquqbuzarlik oqibatida keltirilgan zararni qoplashi shart.</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Basharti ma’muriy huquqbuzarlik sodir etish oqibatida jismoniy shaxsga, korxona, muassasa, tashkilotga, fuqarolarning o‘zini o‘zi boshqarish organi yoki davlatga yetkazilgan mulkiy zarar belgilab qo‘yilgan bazaviy hisoblash miqdoridan ko‘p bo‘lmasa, organ (mansabdor shaxs) jazo qo‘llanish paytida aybdor bu zararni qoplashi to‘g‘risidagi masalani ham hal etishga haqlidir, jinoyat ishlari bo‘yicha sud esa — bu masalani yetkazilgan zarar miqdoridan qat’i nazar hal qilaveradi.</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Boshqa hollarda ma’muriy huquqbuzarlik natijasida yetkazilgan mulkiy zararni qoplash fuqarolik-huquqiy tartibida sodir etish oqibatida jismoniy shaxsga, korxona, muassasa, tashkilotga, fuqarolarning o‘zini o‘zi boshqarish organi yoki davlatga yetkazilgan mulkiy zarar belgilab qo‘yilgan bazaviy hisoblash miqdoridan ko‘p bo‘lmasa, organ (mansabdor shaxs) jazo qo‘llanish paytida aybdor bu zararni qoplashi to‘g‘risidagi masalani ham hal etishga haqlidir, jinoyat ishlari bo‘yicha sud esa — bu masalani yetkazilgan zarar miqdoridan qat’i nazar hal qilaveradi.</w:t>
      </w:r>
    </w:p>
    <w:p>
      <w:pPr>
        <w:pStyle w:val="a5"/>
        <w:jc w:val="both"/>
        <w:shd w:fill="ffffff"/>
        <w:ind w:firstLine="540"/>
        <w:spacing w:before="0" w:after="0" w:line="276" w:lineRule="auto"/>
        <w:rPr>
          <w:rStyle w:val="structures"/>
          <w:color w:val="000000"/>
          <w:sz w:val="28"/>
          <w:rFonts w:ascii="Times New Roman" w:hAnsi="Times New Roman"/>
        </w:rPr>
      </w:pPr>
      <w:r>
        <w:rPr>
          <w:rStyle w:val="structures"/>
          <w:color w:val="000000"/>
          <w:sz w:val="28"/>
          <w:rFonts w:ascii="Times New Roman" w:hAnsi="Times New Roman"/>
        </w:rPr>
        <w:t xml:space="preserve">Yuqoridiganlardan hamda Fuqarolik kodeksining 14-moddasida va Ma’muriy javobgarlik to‘g‘risidagi kodeksning 38-moddasiga asosan,</w:t>
      </w:r>
    </w:p>
    <w:p>
      <w:pPr>
        <w:pStyle w:val="a5"/>
        <w:jc w:val="center"/>
        <w:shd w:fill="ffffff"/>
        <w:ind w:firstLine="540"/>
        <w:spacing w:before="0" w:after="0" w:line="276" w:lineRule="auto"/>
        <w:rPr>
          <w:rStyle w:val="structures"/>
          <w:b/>
          <w:color w:val="000000"/>
          <w:sz w:val="28"/>
          <w:rFonts w:ascii="Times New Roman" w:hAnsi="Times New Roman"/>
        </w:rPr>
      </w:pPr>
      <w:r>
        <w:rPr>
          <w:rStyle w:val="structures"/>
          <w:b/>
          <w:color w:val="000000"/>
          <w:sz w:val="28"/>
          <w:rFonts w:ascii="Times New Roman" w:hAnsi="Times New Roman"/>
        </w:rPr>
        <w:t>SO‘RAYMAN:</w:t>
      </w:r>
    </w:p>
    <w:p>
      <w:pPr>
        <w:pStyle w:val="a5"/>
        <w:jc w:val="both"/>
        <w:shd w:fill="ffffff"/>
        <w:ind w:firstLine="540"/>
        <w:spacing w:before="0" w:after="0" w:line="276" w:lineRule="auto"/>
        <w:rPr>
          <w:rStyle w:val="structures"/>
          <w:color w:val="000000"/>
          <w:sz w:val="28"/>
          <w:rFonts w:ascii="Times New Roman" w:hAnsi="Times New Roman"/>
        </w:rPr>
      </w:pPr>
      <w:r>
        <w:rPr>
          <w:rStyle w:val="structures"/>
          <w:color w:val="000000"/>
          <w:sz w:val="28"/>
          <w:rFonts w:ascii="Times New Roman" w:hAnsi="Times New Roman"/>
        </w:rPr>
        <w:t xml:space="preserve">Menga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Zarar yetkazilishiga olib kelgan maʼmuriy  huquqbuzarlik sodir etgan shaxsning F.I.Sh</w:t>
        <w:fldChar w:fldCharType="end"/>
      </w:r>
      <w:r>
        <w:rPr>
          <w:color w:val="000000"/>
          <w:sz w:val="28"/>
        </w:rPr>
        <w:t xml:space="preserve"> tomonidan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Zarar yetkazilishiga olib kelgan maʼmuriy  huquqbuzarlikning nomi, vaqti va hujjat raqami (agar hujjat bilan rasmiylashtirilgan bo‘lsa)</w:t>
        <w:fldChar w:fldCharType="end"/>
      </w:r>
      <w:r>
        <w:rPr>
          <w:color w:val="000000"/>
          <w:sz w:val="28"/>
        </w:rPr>
        <w:t xml:space="preserve"> natijasida yetkazilgan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Zarar miqdori</w:t>
        <w:fldChar w:fldCharType="end"/>
      </w:r>
      <w:r>
        <w:rPr>
          <w:color w:val="000000"/>
          <w:sz w:val="28"/>
        </w:rPr>
        <w:t xml:space="preserve"> so‘m miqdoridagi zararni va uni oldini olishga sarflagan mablag‘larimni javobgardan qoplab berishingizni.</w:t>
      </w:r>
    </w:p>
    <w:p>
      <w:pPr>
        <w:jc w:val="both"/>
        <w:ind w:firstLine="708"/>
        <w:spacing w:line="276" w:lineRule="auto"/>
        <w:rPr>
          <w:sz w:val="28"/>
        </w:rPr>
      </w:pPr>
      <w:r>
        <w:rPr>
          <w:sz w:val="28"/>
        </w:rPr>
        <w:t>Ilova:</w:t>
      </w:r>
    </w:p>
    <w:p>
      <w:pPr>
        <w:pStyle w:val="a4"/>
        <w:numPr>
          <w:numId w:val="6"/>
          <w:ilvl w:val="0"/>
        </w:numPr>
        <w:jc w:val="both"/>
        <w:ind w:left="0" w:firstLine="708"/>
        <w:spacing w:line="276" w:lineRule="auto"/>
        <w:rPr>
          <w:sz w:val="28"/>
          <w:rFonts w:ascii="Times New Roman" w:hAnsi="Times New Roman"/>
        </w:rPr>
      </w:pPr>
      <w:r>
        <w:rPr>
          <w:sz w:val="28"/>
        </w:rPr>
        <w:t xml:space="preserve">Belgilangan tartibda va miqdorda pochta xarajatlari to‘langanligini tasdiqlovchi hujjat;</w:t>
      </w:r>
    </w:p>
    <w:p>
      <w:pPr>
        <w:pStyle w:val="a4"/>
        <w:numPr>
          <w:numId w:val="6"/>
          <w:ilvl w:val="0"/>
        </w:numPr>
        <w:jc w:val="both"/>
        <w:ind w:left="284" w:firstLine="424"/>
        <w:spacing w:line="276" w:lineRule="auto"/>
        <w:rPr>
          <w:sz w:val="28"/>
          <w:rFonts w:ascii="Times New Roman" w:hAnsi="Times New Roman"/>
        </w:rPr>
      </w:pPr>
      <w:r>
        <w:rPr>
          <w:sz w:val="28"/>
        </w:rPr>
        <w:t xml:space="preserve">Da’vo arizaning (shikoyatning) va unga ilova qilingan hujjatlarning ko‘chirma nusxalari javobgarga hamda uchinchi shaxslarga yuborilganligini tasdiqlovchi hujjatlar;</w:t>
      </w:r>
    </w:p>
    <w:p>
      <w:pPr>
        <w:pStyle w:val="a4"/>
        <w:numPr>
          <w:numId w:val="6"/>
          <w:ilvl w:val="0"/>
        </w:numPr>
        <w:jc w:val="both"/>
        <w:spacing w:line="276" w:lineRule="auto"/>
        <w:rPr>
          <w:sz w:val="28"/>
          <w:rFonts w:ascii="Times New Roman" w:hAnsi="Times New Roman"/>
        </w:rPr>
      </w:pPr>
      <w:r>
        <w:rPr>
          <w:sz w:val="28"/>
        </w:rPr>
        <w:t xml:space="preserve">Arz qilingan talablarga asos bo‘lgan holatlar</w:t>
      </w:r>
    </w:p>
    <w:p>
      <w:pPr>
        <w:pStyle w:val="a4"/>
        <w:numPr>
          <w:numId w:val="6"/>
          <w:ilvl w:val="0"/>
        </w:numPr>
        <w:jc w:val="both"/>
        <w:ind w:left="0" w:firstLine="708"/>
        <w:spacing w:line="276" w:lineRule="auto"/>
        <w:rPr>
          <w:sz w:val="28"/>
          <w:rFonts w:ascii="Times New Roman" w:hAnsi="Times New Roman"/>
        </w:rPr>
      </w:pPr>
      <w:r>
        <w:rPr>
          <w:sz w:val="28"/>
        </w:rPr>
        <w:t xml:space="preserve">Da’vo arizani imzolash vakolatini, agar u vakil tomonidan imzolangan bo‘lsa, tasdiqlovchi hujjat</w:t>
      </w:r>
    </w:p>
    <w:p>
      <w:pPr>
        <w:pStyle w:val="a4"/>
        <w:numPr>
          <w:numId w:val="6"/>
          <w:ilvl w:val="0"/>
        </w:numPr>
        <w:ind w:left="0" w:firstLine="708"/>
        <w:spacing w:line="276" w:lineRule="auto"/>
        <w:rPr>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Ilova qilinayotgan boshqa hujjatning nomi</w:t>
        <w:fldChar w:fldCharType="end"/>
      </w:r>
    </w:p>
    <w:p>
      <w:pPr>
        <w:ind w:firstLine="708"/>
        <w:spacing w:line="276" w:lineRule="auto"/>
        <w:rPr>
          <w:b/>
          <w:sz w:val="28"/>
        </w:rPr>
      </w:pPr>
    </w:p>
    <w:tbl>
      <w:tblPr>
        <w:tblStyle w:val="aa"/>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30"/>
        <w:gridCol w:w="3105"/>
        <w:gridCol w:w="3120"/>
      </w:tblGrid>
      <w:tr>
        <w:tc>
          <w:tcPr>
            <w:tcW w:w="3190" w:type="dxa"/>
          </w:tcPr>
          <w:p>
            <w:pPr>
              <w:spacing w:line="276" w:lineRule="auto"/>
              <w:rPr>
                <w:sz w:val="28"/>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Daʼvogarning F.I.O.</w:t>
              <w:fldChar w:fldCharType="end"/>
            </w:r>
          </w:p>
        </w:tc>
        <w:tc>
          <w:tcPr>
            <w:tcW w:w="3190" w:type="dxa"/>
          </w:tcPr>
          <w:p>
            <w:pPr>
              <w:spacing w:line="276" w:lineRule="auto"/>
              <w:rPr>
                <w:sz w:val="28"/>
              </w:rPr>
            </w:pPr>
            <w:r>
              <w:rPr>
                <w:sz w:val="28"/>
              </w:rPr>
              <w:t>_______</w:t>
            </w:r>
          </w:p>
        </w:tc>
        <w:tc>
          <w:tcPr>
            <w:tcW w:w="3191" w:type="dxa"/>
          </w:tcPr>
          <w:p>
            <w:pPr>
              <w:spacing w:line="276" w:lineRule="auto"/>
              <w:rPr>
                <w:sz w:val="28"/>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Daʼvo arizasi imzolangan sana</w:t>
              <w:fldChar w:fldCharType="end"/>
            </w:r>
          </w:p>
        </w:tc>
      </w:tr>
    </w:tbl>
    <w:p>
      <w:pPr>
        <w:spacing w:line="276" w:lineRule="auto"/>
        <w:rPr>
          <w:sz w:val="28"/>
        </w:rPr>
      </w:pPr>
    </w:p>
    <w:p>
      <w:pPr>
        <w:spacing w:line="276" w:lineRule="auto"/>
        <w:rPr>
          <w:color w:val="000000"/>
          <w:sz w:val="28"/>
        </w:rPr>
      </w:pPr>
      <w:r>
        <w:rPr>
          <w:i/>
          <w:sz w:val="28"/>
        </w:rPr>
        <w:t xml:space="preserve"> </w:t>
      </w: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F5E" w:rsidRDefault="007D5F5E" w:rsidP="00686DBA">
      <w:r>
        <w:separator/>
      </w:r>
    </w:p>
  </w:endnote>
  <w:endnote w:type="continuationSeparator" w:id="0">
    <w:p w:rsidR="007D5F5E" w:rsidRDefault="007D5F5E" w:rsidP="00686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F5E" w:rsidRDefault="007D5F5E" w:rsidP="00686DBA">
      <w:r>
        <w:separator/>
      </w:r>
    </w:p>
  </w:footnote>
  <w:footnote w:type="continuationSeparator" w:id="0">
    <w:p w:rsidR="007D5F5E" w:rsidRDefault="007D5F5E" w:rsidP="00686D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A6892"/>
    <w:multiLevelType w:val="hybridMultilevel"/>
    <w:tmpl w:val="4AFAEC16"/>
    <w:lvl w:ilvl="0" w:tplc="355C925C">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584A3A"/>
    <w:multiLevelType w:val="hybridMultilevel"/>
    <w:tmpl w:val="863C3D0E"/>
    <w:lvl w:ilvl="0" w:tplc="C4D478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1E271BB"/>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3" w15:restartNumberingAfterBreak="0">
    <w:nsid w:val="3C9C76D4"/>
    <w:multiLevelType w:val="hybridMultilevel"/>
    <w:tmpl w:val="F9CC980E"/>
    <w:lvl w:ilvl="0" w:tplc="BE4CD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44A77174"/>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num w:numId="1">
    <w:abstractNumId w:val="4"/>
  </w:num>
  <w:num w:numId="2">
    <w:abstractNumId w:val="0"/>
  </w:num>
  <w:num w:numId="3">
    <w:abstractNumId w:val="2"/>
  </w:num>
  <w:num w:numId="4">
    <w:abstractNumId w:val="3"/>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56"/>
    <w:rsid w:val="00001AE7"/>
    <w:rsid w:val="00007180"/>
    <w:rsid w:val="00025590"/>
    <w:rsid w:val="0002623A"/>
    <w:rsid w:val="00032D1D"/>
    <w:rsid w:val="0007187A"/>
    <w:rsid w:val="000A4430"/>
    <w:rsid w:val="000B0C3D"/>
    <w:rsid w:val="000B5A53"/>
    <w:rsid w:val="000E6980"/>
    <w:rsid w:val="000F62F9"/>
    <w:rsid w:val="001474D5"/>
    <w:rsid w:val="001E292A"/>
    <w:rsid w:val="001E6D82"/>
    <w:rsid w:val="001F524F"/>
    <w:rsid w:val="00201195"/>
    <w:rsid w:val="00203DF9"/>
    <w:rsid w:val="0020570C"/>
    <w:rsid w:val="00212E34"/>
    <w:rsid w:val="00230490"/>
    <w:rsid w:val="002578BC"/>
    <w:rsid w:val="002670BB"/>
    <w:rsid w:val="00274EF6"/>
    <w:rsid w:val="002862E2"/>
    <w:rsid w:val="002A57A5"/>
    <w:rsid w:val="002B646B"/>
    <w:rsid w:val="002B7AC3"/>
    <w:rsid w:val="002C2C68"/>
    <w:rsid w:val="002C72AC"/>
    <w:rsid w:val="00305CE0"/>
    <w:rsid w:val="00320FD4"/>
    <w:rsid w:val="003221EF"/>
    <w:rsid w:val="003404EA"/>
    <w:rsid w:val="00356F8F"/>
    <w:rsid w:val="003737DC"/>
    <w:rsid w:val="00391C56"/>
    <w:rsid w:val="003B505F"/>
    <w:rsid w:val="003D7D34"/>
    <w:rsid w:val="003E14AC"/>
    <w:rsid w:val="003F2E5B"/>
    <w:rsid w:val="003F6464"/>
    <w:rsid w:val="003F7EFA"/>
    <w:rsid w:val="004005D6"/>
    <w:rsid w:val="00445B2F"/>
    <w:rsid w:val="00446B12"/>
    <w:rsid w:val="00455853"/>
    <w:rsid w:val="0048534F"/>
    <w:rsid w:val="0049069C"/>
    <w:rsid w:val="004A60FF"/>
    <w:rsid w:val="004E003E"/>
    <w:rsid w:val="004E2972"/>
    <w:rsid w:val="004F41E4"/>
    <w:rsid w:val="00502AC0"/>
    <w:rsid w:val="00506A62"/>
    <w:rsid w:val="00524CEF"/>
    <w:rsid w:val="005266F5"/>
    <w:rsid w:val="00537FE9"/>
    <w:rsid w:val="00541B38"/>
    <w:rsid w:val="00547BAB"/>
    <w:rsid w:val="00553714"/>
    <w:rsid w:val="00563BBA"/>
    <w:rsid w:val="005B4774"/>
    <w:rsid w:val="005E04F5"/>
    <w:rsid w:val="005F7E35"/>
    <w:rsid w:val="00603C76"/>
    <w:rsid w:val="006132E6"/>
    <w:rsid w:val="00622525"/>
    <w:rsid w:val="00635D90"/>
    <w:rsid w:val="00683D2C"/>
    <w:rsid w:val="00686DBA"/>
    <w:rsid w:val="006A5488"/>
    <w:rsid w:val="006A6D38"/>
    <w:rsid w:val="006C2512"/>
    <w:rsid w:val="006C432B"/>
    <w:rsid w:val="006F3A5C"/>
    <w:rsid w:val="006F57B9"/>
    <w:rsid w:val="00742DB0"/>
    <w:rsid w:val="007434A8"/>
    <w:rsid w:val="00791803"/>
    <w:rsid w:val="007A525A"/>
    <w:rsid w:val="007C2B65"/>
    <w:rsid w:val="007D15EC"/>
    <w:rsid w:val="007D5088"/>
    <w:rsid w:val="007D5F5E"/>
    <w:rsid w:val="007E6B2F"/>
    <w:rsid w:val="00825912"/>
    <w:rsid w:val="0084138B"/>
    <w:rsid w:val="00854EA8"/>
    <w:rsid w:val="00870C8E"/>
    <w:rsid w:val="008921FC"/>
    <w:rsid w:val="008D6F6B"/>
    <w:rsid w:val="008E60AF"/>
    <w:rsid w:val="008E6CEE"/>
    <w:rsid w:val="008F0716"/>
    <w:rsid w:val="009128FD"/>
    <w:rsid w:val="0091445D"/>
    <w:rsid w:val="00920834"/>
    <w:rsid w:val="0092718F"/>
    <w:rsid w:val="0093051A"/>
    <w:rsid w:val="0094115E"/>
    <w:rsid w:val="00955F1A"/>
    <w:rsid w:val="009714FD"/>
    <w:rsid w:val="009728F4"/>
    <w:rsid w:val="009761BF"/>
    <w:rsid w:val="00991BB6"/>
    <w:rsid w:val="009962D5"/>
    <w:rsid w:val="009A0F5B"/>
    <w:rsid w:val="009B22A1"/>
    <w:rsid w:val="009B24F1"/>
    <w:rsid w:val="009B562D"/>
    <w:rsid w:val="009C1E42"/>
    <w:rsid w:val="009F0258"/>
    <w:rsid w:val="00A16408"/>
    <w:rsid w:val="00A31CF0"/>
    <w:rsid w:val="00A43FC3"/>
    <w:rsid w:val="00A5777D"/>
    <w:rsid w:val="00A702D8"/>
    <w:rsid w:val="00A75C64"/>
    <w:rsid w:val="00A7658E"/>
    <w:rsid w:val="00AA2518"/>
    <w:rsid w:val="00AB7727"/>
    <w:rsid w:val="00AE4ED8"/>
    <w:rsid w:val="00B05D5D"/>
    <w:rsid w:val="00B1342E"/>
    <w:rsid w:val="00B41E42"/>
    <w:rsid w:val="00B42273"/>
    <w:rsid w:val="00B473B4"/>
    <w:rsid w:val="00B50652"/>
    <w:rsid w:val="00B5384A"/>
    <w:rsid w:val="00B647F6"/>
    <w:rsid w:val="00B764B5"/>
    <w:rsid w:val="00B8742B"/>
    <w:rsid w:val="00B912FA"/>
    <w:rsid w:val="00BA58C4"/>
    <w:rsid w:val="00BB5E34"/>
    <w:rsid w:val="00BC2E8A"/>
    <w:rsid w:val="00BC642B"/>
    <w:rsid w:val="00BD394C"/>
    <w:rsid w:val="00C14BA2"/>
    <w:rsid w:val="00C22B99"/>
    <w:rsid w:val="00C22E52"/>
    <w:rsid w:val="00C27721"/>
    <w:rsid w:val="00C6708F"/>
    <w:rsid w:val="00C8592D"/>
    <w:rsid w:val="00C8640B"/>
    <w:rsid w:val="00C92F02"/>
    <w:rsid w:val="00CC24A7"/>
    <w:rsid w:val="00CD3307"/>
    <w:rsid w:val="00D149F0"/>
    <w:rsid w:val="00D7285D"/>
    <w:rsid w:val="00D87B8A"/>
    <w:rsid w:val="00D94F50"/>
    <w:rsid w:val="00DA4BDB"/>
    <w:rsid w:val="00DB0048"/>
    <w:rsid w:val="00E055E4"/>
    <w:rsid w:val="00E134A1"/>
    <w:rsid w:val="00E15962"/>
    <w:rsid w:val="00E3592B"/>
    <w:rsid w:val="00E35EC5"/>
    <w:rsid w:val="00E3771B"/>
    <w:rsid w:val="00E43576"/>
    <w:rsid w:val="00E55F11"/>
    <w:rsid w:val="00E66A16"/>
    <w:rsid w:val="00E757DE"/>
    <w:rsid w:val="00EB08C5"/>
    <w:rsid w:val="00EB747F"/>
    <w:rsid w:val="00F25B6F"/>
    <w:rsid w:val="00F34D24"/>
    <w:rsid w:val="00F7311C"/>
    <w:rsid w:val="00F744D9"/>
    <w:rsid w:val="00F81E9C"/>
    <w:rsid w:val="00FA43E0"/>
    <w:rsid w:val="00FB2177"/>
    <w:rsid w:val="00FB3A35"/>
    <w:rsid w:val="00FB5D6B"/>
    <w:rsid w:val="00FC0EE2"/>
    <w:rsid w:val="00FC4676"/>
    <w:rsid w:val="00FE2460"/>
    <w:rsid w:val="00FE5E99"/>
    <w:rsid w:val="00FE6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DE243"/>
  <w15:docId w15:val="{2470B107-F0B2-45F7-B468-72A52AB17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4F41E4"/>
    <w:pPr>
      <w:spacing w:after="160" w:line="240" w:lineRule="exact"/>
    </w:pPr>
    <w:rPr>
      <w:sz w:val="28"/>
      <w:szCs w:val="28"/>
      <w:lang w:val="en-US" w:eastAsia="en-US"/>
    </w:rPr>
  </w:style>
  <w:style w:type="paragraph" w:styleId="a4">
    <w:name w:val="List Paragraph"/>
    <w:basedOn w:val="a"/>
    <w:uiPriority w:val="34"/>
    <w:qFormat/>
    <w:rsid w:val="000B5A53"/>
    <w:pPr>
      <w:ind w:left="720"/>
      <w:contextualSpacing/>
    </w:pPr>
  </w:style>
  <w:style w:type="paragraph" w:customStyle="1" w:styleId="consplusnonformat">
    <w:name w:val="consplusnonformat"/>
    <w:basedOn w:val="a"/>
    <w:rsid w:val="00686DBA"/>
    <w:pPr>
      <w:spacing w:before="100" w:beforeAutospacing="1" w:after="100" w:afterAutospacing="1"/>
    </w:pPr>
    <w:rPr>
      <w:lang w:val="ru-RU"/>
    </w:rPr>
  </w:style>
  <w:style w:type="character" w:customStyle="1" w:styleId="structures">
    <w:name w:val="structures"/>
    <w:basedOn w:val="a0"/>
    <w:rsid w:val="00686DBA"/>
  </w:style>
  <w:style w:type="paragraph" w:styleId="a5">
    <w:name w:val="Normal (Web)"/>
    <w:basedOn w:val="a"/>
    <w:uiPriority w:val="99"/>
    <w:semiHidden/>
    <w:unhideWhenUsed/>
    <w:rsid w:val="00686DBA"/>
    <w:pPr>
      <w:spacing w:before="100" w:beforeAutospacing="1" w:after="100" w:afterAutospacing="1"/>
    </w:pPr>
    <w:rPr>
      <w:lang w:val="ru-RU"/>
    </w:rPr>
  </w:style>
  <w:style w:type="paragraph" w:styleId="a6">
    <w:name w:val="header"/>
    <w:basedOn w:val="a"/>
    <w:link w:val="a7"/>
    <w:unhideWhenUsed/>
    <w:rsid w:val="00686DBA"/>
    <w:pPr>
      <w:tabs>
        <w:tab w:val="center" w:pos="4677"/>
        <w:tab w:val="right" w:pos="9355"/>
      </w:tabs>
    </w:pPr>
  </w:style>
  <w:style w:type="character" w:customStyle="1" w:styleId="a7">
    <w:name w:val="Верхний колонтитул Знак"/>
    <w:basedOn w:val="a0"/>
    <w:link w:val="a6"/>
    <w:rsid w:val="00686DBA"/>
    <w:rPr>
      <w:sz w:val="24"/>
      <w:szCs w:val="24"/>
      <w:lang w:val="uz-Cyrl-UZ"/>
    </w:rPr>
  </w:style>
  <w:style w:type="paragraph" w:styleId="a8">
    <w:name w:val="footer"/>
    <w:basedOn w:val="a"/>
    <w:link w:val="a9"/>
    <w:unhideWhenUsed/>
    <w:rsid w:val="00686DBA"/>
    <w:pPr>
      <w:tabs>
        <w:tab w:val="center" w:pos="4677"/>
        <w:tab w:val="right" w:pos="9355"/>
      </w:tabs>
    </w:pPr>
  </w:style>
  <w:style w:type="character" w:customStyle="1" w:styleId="a9">
    <w:name w:val="Нижний колонтитул Знак"/>
    <w:basedOn w:val="a0"/>
    <w:link w:val="a8"/>
    <w:rsid w:val="00686DBA"/>
    <w:rPr>
      <w:sz w:val="24"/>
      <w:szCs w:val="24"/>
      <w:lang w:val="uz-Cyrl-UZ"/>
    </w:rPr>
  </w:style>
  <w:style w:type="table" w:styleId="aa">
    <w:name w:val="Table Grid"/>
    <w:basedOn w:val="a1"/>
    <w:rsid w:val="009A0F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826579">
      <w:bodyDiv w:val="1"/>
      <w:marLeft w:val="0"/>
      <w:marRight w:val="0"/>
      <w:marTop w:val="0"/>
      <w:marBottom w:val="0"/>
      <w:divBdr>
        <w:top w:val="none" w:sz="0" w:space="0" w:color="auto"/>
        <w:left w:val="none" w:sz="0" w:space="0" w:color="auto"/>
        <w:bottom w:val="none" w:sz="0" w:space="0" w:color="auto"/>
        <w:right w:val="none" w:sz="0" w:space="0" w:color="auto"/>
      </w:divBdr>
    </w:div>
    <w:div w:id="476381766">
      <w:bodyDiv w:val="1"/>
      <w:marLeft w:val="0"/>
      <w:marRight w:val="0"/>
      <w:marTop w:val="0"/>
      <w:marBottom w:val="0"/>
      <w:divBdr>
        <w:top w:val="none" w:sz="0" w:space="0" w:color="auto"/>
        <w:left w:val="none" w:sz="0" w:space="0" w:color="auto"/>
        <w:bottom w:val="none" w:sz="0" w:space="0" w:color="auto"/>
        <w:right w:val="none" w:sz="0" w:space="0" w:color="auto"/>
      </w:divBdr>
      <w:divsChild>
        <w:div w:id="133186182">
          <w:marLeft w:val="0"/>
          <w:marRight w:val="0"/>
          <w:marTop w:val="0"/>
          <w:marBottom w:val="150"/>
          <w:divBdr>
            <w:top w:val="none" w:sz="0" w:space="0" w:color="auto"/>
            <w:left w:val="none" w:sz="0" w:space="0" w:color="auto"/>
            <w:bottom w:val="none" w:sz="0" w:space="0" w:color="auto"/>
            <w:right w:val="none" w:sz="0" w:space="0" w:color="auto"/>
          </w:divBdr>
        </w:div>
        <w:div w:id="952975613">
          <w:marLeft w:val="0"/>
          <w:marRight w:val="0"/>
          <w:marTop w:val="0"/>
          <w:marBottom w:val="150"/>
          <w:divBdr>
            <w:top w:val="none" w:sz="0" w:space="0" w:color="auto"/>
            <w:left w:val="none" w:sz="0" w:space="0" w:color="auto"/>
            <w:bottom w:val="none" w:sz="0" w:space="0" w:color="auto"/>
            <w:right w:val="none" w:sz="0" w:space="0" w:color="auto"/>
          </w:divBdr>
        </w:div>
        <w:div w:id="920258278">
          <w:marLeft w:val="0"/>
          <w:marRight w:val="0"/>
          <w:marTop w:val="0"/>
          <w:marBottom w:val="150"/>
          <w:divBdr>
            <w:top w:val="none" w:sz="0" w:space="0" w:color="auto"/>
            <w:left w:val="none" w:sz="0" w:space="0" w:color="auto"/>
            <w:bottom w:val="none" w:sz="0" w:space="0" w:color="auto"/>
            <w:right w:val="none" w:sz="0" w:space="0" w:color="auto"/>
          </w:divBdr>
        </w:div>
        <w:div w:id="1067072596">
          <w:marLeft w:val="0"/>
          <w:marRight w:val="0"/>
          <w:marTop w:val="0"/>
          <w:marBottom w:val="150"/>
          <w:divBdr>
            <w:top w:val="none" w:sz="0" w:space="0" w:color="auto"/>
            <w:left w:val="none" w:sz="0" w:space="0" w:color="auto"/>
            <w:bottom w:val="none" w:sz="0" w:space="0" w:color="auto"/>
            <w:right w:val="none" w:sz="0" w:space="0" w:color="auto"/>
          </w:divBdr>
        </w:div>
        <w:div w:id="1890453438">
          <w:marLeft w:val="0"/>
          <w:marRight w:val="0"/>
          <w:marTop w:val="0"/>
          <w:marBottom w:val="150"/>
          <w:divBdr>
            <w:top w:val="none" w:sz="0" w:space="0" w:color="auto"/>
            <w:left w:val="none" w:sz="0" w:space="0" w:color="auto"/>
            <w:bottom w:val="none" w:sz="0" w:space="0" w:color="auto"/>
            <w:right w:val="none" w:sz="0" w:space="0" w:color="auto"/>
          </w:divBdr>
        </w:div>
      </w:divsChild>
    </w:div>
    <w:div w:id="732508969">
      <w:bodyDiv w:val="1"/>
      <w:marLeft w:val="0"/>
      <w:marRight w:val="0"/>
      <w:marTop w:val="0"/>
      <w:marBottom w:val="0"/>
      <w:divBdr>
        <w:top w:val="none" w:sz="0" w:space="0" w:color="auto"/>
        <w:left w:val="none" w:sz="0" w:space="0" w:color="auto"/>
        <w:bottom w:val="none" w:sz="0" w:space="0" w:color="auto"/>
        <w:right w:val="none" w:sz="0" w:space="0" w:color="auto"/>
      </w:divBdr>
    </w:div>
    <w:div w:id="745147557">
      <w:bodyDiv w:val="1"/>
      <w:marLeft w:val="0"/>
      <w:marRight w:val="0"/>
      <w:marTop w:val="0"/>
      <w:marBottom w:val="0"/>
      <w:divBdr>
        <w:top w:val="none" w:sz="0" w:space="0" w:color="auto"/>
        <w:left w:val="none" w:sz="0" w:space="0" w:color="auto"/>
        <w:bottom w:val="none" w:sz="0" w:space="0" w:color="auto"/>
        <w:right w:val="none" w:sz="0" w:space="0" w:color="auto"/>
      </w:divBdr>
      <w:divsChild>
        <w:div w:id="1394767920">
          <w:marLeft w:val="0"/>
          <w:marRight w:val="0"/>
          <w:marTop w:val="0"/>
          <w:marBottom w:val="150"/>
          <w:divBdr>
            <w:top w:val="none" w:sz="0" w:space="0" w:color="auto"/>
            <w:left w:val="none" w:sz="0" w:space="0" w:color="auto"/>
            <w:bottom w:val="none" w:sz="0" w:space="0" w:color="auto"/>
            <w:right w:val="none" w:sz="0" w:space="0" w:color="auto"/>
          </w:divBdr>
        </w:div>
        <w:div w:id="1906799617">
          <w:marLeft w:val="0"/>
          <w:marRight w:val="0"/>
          <w:marTop w:val="0"/>
          <w:marBottom w:val="150"/>
          <w:divBdr>
            <w:top w:val="none" w:sz="0" w:space="0" w:color="auto"/>
            <w:left w:val="none" w:sz="0" w:space="0" w:color="auto"/>
            <w:bottom w:val="none" w:sz="0" w:space="0" w:color="auto"/>
            <w:right w:val="none" w:sz="0" w:space="0" w:color="auto"/>
          </w:divBdr>
        </w:div>
        <w:div w:id="1712344174">
          <w:marLeft w:val="0"/>
          <w:marRight w:val="0"/>
          <w:marTop w:val="0"/>
          <w:marBottom w:val="150"/>
          <w:divBdr>
            <w:top w:val="none" w:sz="0" w:space="0" w:color="auto"/>
            <w:left w:val="none" w:sz="0" w:space="0" w:color="auto"/>
            <w:bottom w:val="none" w:sz="0" w:space="0" w:color="auto"/>
            <w:right w:val="none" w:sz="0" w:space="0" w:color="auto"/>
          </w:divBdr>
        </w:div>
      </w:divsChild>
    </w:div>
    <w:div w:id="912812951">
      <w:bodyDiv w:val="1"/>
      <w:marLeft w:val="0"/>
      <w:marRight w:val="0"/>
      <w:marTop w:val="0"/>
      <w:marBottom w:val="0"/>
      <w:divBdr>
        <w:top w:val="none" w:sz="0" w:space="0" w:color="auto"/>
        <w:left w:val="none" w:sz="0" w:space="0" w:color="auto"/>
        <w:bottom w:val="none" w:sz="0" w:space="0" w:color="auto"/>
        <w:right w:val="none" w:sz="0" w:space="0" w:color="auto"/>
      </w:divBdr>
      <w:divsChild>
        <w:div w:id="893543538">
          <w:marLeft w:val="0"/>
          <w:marRight w:val="0"/>
          <w:marTop w:val="0"/>
          <w:marBottom w:val="150"/>
          <w:divBdr>
            <w:top w:val="none" w:sz="0" w:space="0" w:color="auto"/>
            <w:left w:val="none" w:sz="0" w:space="0" w:color="auto"/>
            <w:bottom w:val="none" w:sz="0" w:space="0" w:color="auto"/>
            <w:right w:val="none" w:sz="0" w:space="0" w:color="auto"/>
          </w:divBdr>
        </w:div>
        <w:div w:id="449671622">
          <w:marLeft w:val="0"/>
          <w:marRight w:val="0"/>
          <w:marTop w:val="0"/>
          <w:marBottom w:val="150"/>
          <w:divBdr>
            <w:top w:val="none" w:sz="0" w:space="0" w:color="auto"/>
            <w:left w:val="none" w:sz="0" w:space="0" w:color="auto"/>
            <w:bottom w:val="none" w:sz="0" w:space="0" w:color="auto"/>
            <w:right w:val="none" w:sz="0" w:space="0" w:color="auto"/>
          </w:divBdr>
        </w:div>
        <w:div w:id="1412658330">
          <w:marLeft w:val="0"/>
          <w:marRight w:val="0"/>
          <w:marTop w:val="0"/>
          <w:marBottom w:val="150"/>
          <w:divBdr>
            <w:top w:val="none" w:sz="0" w:space="0" w:color="auto"/>
            <w:left w:val="none" w:sz="0" w:space="0" w:color="auto"/>
            <w:bottom w:val="none" w:sz="0" w:space="0" w:color="auto"/>
            <w:right w:val="none" w:sz="0" w:space="0" w:color="auto"/>
          </w:divBdr>
        </w:div>
        <w:div w:id="1473795058">
          <w:marLeft w:val="0"/>
          <w:marRight w:val="0"/>
          <w:marTop w:val="0"/>
          <w:marBottom w:val="150"/>
          <w:divBdr>
            <w:top w:val="none" w:sz="0" w:space="0" w:color="auto"/>
            <w:left w:val="none" w:sz="0" w:space="0" w:color="auto"/>
            <w:bottom w:val="none" w:sz="0" w:space="0" w:color="auto"/>
            <w:right w:val="none" w:sz="0" w:space="0" w:color="auto"/>
          </w:divBdr>
        </w:div>
        <w:div w:id="51587069">
          <w:marLeft w:val="0"/>
          <w:marRight w:val="0"/>
          <w:marTop w:val="0"/>
          <w:marBottom w:val="150"/>
          <w:divBdr>
            <w:top w:val="none" w:sz="0" w:space="0" w:color="auto"/>
            <w:left w:val="none" w:sz="0" w:space="0" w:color="auto"/>
            <w:bottom w:val="none" w:sz="0" w:space="0" w:color="auto"/>
            <w:right w:val="none" w:sz="0" w:space="0" w:color="auto"/>
          </w:divBdr>
        </w:div>
      </w:divsChild>
    </w:div>
    <w:div w:id="976109446">
      <w:bodyDiv w:val="1"/>
      <w:marLeft w:val="0"/>
      <w:marRight w:val="0"/>
      <w:marTop w:val="0"/>
      <w:marBottom w:val="0"/>
      <w:divBdr>
        <w:top w:val="none" w:sz="0" w:space="0" w:color="auto"/>
        <w:left w:val="none" w:sz="0" w:space="0" w:color="auto"/>
        <w:bottom w:val="none" w:sz="0" w:space="0" w:color="auto"/>
        <w:right w:val="none" w:sz="0" w:space="0" w:color="auto"/>
      </w:divBdr>
      <w:divsChild>
        <w:div w:id="36325037">
          <w:marLeft w:val="0"/>
          <w:marRight w:val="0"/>
          <w:marTop w:val="0"/>
          <w:marBottom w:val="150"/>
          <w:divBdr>
            <w:top w:val="none" w:sz="0" w:space="0" w:color="auto"/>
            <w:left w:val="none" w:sz="0" w:space="0" w:color="auto"/>
            <w:bottom w:val="none" w:sz="0" w:space="0" w:color="auto"/>
            <w:right w:val="none" w:sz="0" w:space="0" w:color="auto"/>
          </w:divBdr>
        </w:div>
        <w:div w:id="2000378774">
          <w:marLeft w:val="0"/>
          <w:marRight w:val="0"/>
          <w:marTop w:val="0"/>
          <w:marBottom w:val="150"/>
          <w:divBdr>
            <w:top w:val="none" w:sz="0" w:space="0" w:color="auto"/>
            <w:left w:val="none" w:sz="0" w:space="0" w:color="auto"/>
            <w:bottom w:val="none" w:sz="0" w:space="0" w:color="auto"/>
            <w:right w:val="none" w:sz="0" w:space="0" w:color="auto"/>
          </w:divBdr>
        </w:div>
      </w:divsChild>
    </w:div>
    <w:div w:id="1041051621">
      <w:bodyDiv w:val="1"/>
      <w:marLeft w:val="0"/>
      <w:marRight w:val="0"/>
      <w:marTop w:val="0"/>
      <w:marBottom w:val="0"/>
      <w:divBdr>
        <w:top w:val="none" w:sz="0" w:space="0" w:color="auto"/>
        <w:left w:val="none" w:sz="0" w:space="0" w:color="auto"/>
        <w:bottom w:val="none" w:sz="0" w:space="0" w:color="auto"/>
        <w:right w:val="none" w:sz="0" w:space="0" w:color="auto"/>
      </w:divBdr>
      <w:divsChild>
        <w:div w:id="2043313968">
          <w:marLeft w:val="0"/>
          <w:marRight w:val="0"/>
          <w:marTop w:val="0"/>
          <w:marBottom w:val="150"/>
          <w:divBdr>
            <w:top w:val="none" w:sz="0" w:space="0" w:color="auto"/>
            <w:left w:val="none" w:sz="0" w:space="0" w:color="auto"/>
            <w:bottom w:val="none" w:sz="0" w:space="0" w:color="auto"/>
            <w:right w:val="none" w:sz="0" w:space="0" w:color="auto"/>
          </w:divBdr>
        </w:div>
        <w:div w:id="81343740">
          <w:marLeft w:val="0"/>
          <w:marRight w:val="0"/>
          <w:marTop w:val="0"/>
          <w:marBottom w:val="150"/>
          <w:divBdr>
            <w:top w:val="none" w:sz="0" w:space="0" w:color="auto"/>
            <w:left w:val="none" w:sz="0" w:space="0" w:color="auto"/>
            <w:bottom w:val="none" w:sz="0" w:space="0" w:color="auto"/>
            <w:right w:val="none" w:sz="0" w:space="0" w:color="auto"/>
          </w:divBdr>
        </w:div>
      </w:divsChild>
    </w:div>
    <w:div w:id="1410350236">
      <w:bodyDiv w:val="1"/>
      <w:marLeft w:val="0"/>
      <w:marRight w:val="0"/>
      <w:marTop w:val="0"/>
      <w:marBottom w:val="0"/>
      <w:divBdr>
        <w:top w:val="none" w:sz="0" w:space="0" w:color="auto"/>
        <w:left w:val="none" w:sz="0" w:space="0" w:color="auto"/>
        <w:bottom w:val="none" w:sz="0" w:space="0" w:color="auto"/>
        <w:right w:val="none" w:sz="0" w:space="0" w:color="auto"/>
      </w:divBdr>
      <w:divsChild>
        <w:div w:id="944113306">
          <w:marLeft w:val="0"/>
          <w:marRight w:val="0"/>
          <w:marTop w:val="240"/>
          <w:marBottom w:val="120"/>
          <w:divBdr>
            <w:top w:val="none" w:sz="0" w:space="0" w:color="auto"/>
            <w:left w:val="none" w:sz="0" w:space="0" w:color="auto"/>
            <w:bottom w:val="none" w:sz="0" w:space="0" w:color="auto"/>
            <w:right w:val="none" w:sz="0" w:space="0" w:color="auto"/>
          </w:divBdr>
        </w:div>
      </w:divsChild>
    </w:div>
    <w:div w:id="1757557012">
      <w:bodyDiv w:val="1"/>
      <w:marLeft w:val="0"/>
      <w:marRight w:val="0"/>
      <w:marTop w:val="0"/>
      <w:marBottom w:val="0"/>
      <w:divBdr>
        <w:top w:val="none" w:sz="0" w:space="0" w:color="auto"/>
        <w:left w:val="none" w:sz="0" w:space="0" w:color="auto"/>
        <w:bottom w:val="none" w:sz="0" w:space="0" w:color="auto"/>
        <w:right w:val="none" w:sz="0" w:space="0" w:color="auto"/>
      </w:divBdr>
      <w:divsChild>
        <w:div w:id="1768650686">
          <w:marLeft w:val="0"/>
          <w:marRight w:val="0"/>
          <w:marTop w:val="0"/>
          <w:marBottom w:val="0"/>
          <w:divBdr>
            <w:top w:val="none" w:sz="0" w:space="0" w:color="auto"/>
            <w:left w:val="none" w:sz="0" w:space="0" w:color="auto"/>
            <w:bottom w:val="none" w:sz="0" w:space="0" w:color="auto"/>
            <w:right w:val="none" w:sz="0" w:space="0" w:color="auto"/>
          </w:divBdr>
          <w:divsChild>
            <w:div w:id="6020372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B3C3F-8C2E-466E-A4C8-0DE7B2F94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759</Words>
  <Characters>4328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2</cp:revision>
  <dcterms:created xsi:type="dcterms:W3CDTF">2023-05-02T05:29:00Z</dcterms:created>
  <dcterms:modified xsi:type="dcterms:W3CDTF">2023-05-02T05:29:00Z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Arizaning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value>
  </w:element>
  <w:element w:id="3" w:kind="variable" w:selector="check" w:type="string" w:valueMode="normal" w:required="false" w:groupID="1">
    <w:identifier xml:space="preserve">ID3</w:identifier>
    <w:name xml:space="preserve">Daʼvogarning F.I.O.</w:name>
    <w:value w:hidden="false">
      <w:unit w:active="false"/>
    </w:value>
  </w:element>
  <w:element w:id="4" w:kind="variable" w:selector="check" w:type="string" w:valueMode="normal" w:required="false" w:groupID="1">
    <w:identifier xml:space="preserve">ID4</w:identifier>
    <w:name xml:space="preserve">Daʼvogarning yashash manzili</w:name>
    <w:value w:hidden="false">
      <w:unit w:active="false"/>
    </w:value>
  </w:element>
  <w:element w:id="5" w:kind="variable" w:selector="check" w:type="string" w:valueMode="normal" w:required="false" w:groupID="1">
    <w:identifier xml:space="preserve">ID5</w:identifier>
    <w:name xml:space="preserve">Daʼvogarning telefon raqami</w:name>
    <w:value w:hidden="false">
      <w:unit w:active="false"/>
    </w:value>
  </w:element>
  <w:element w:id="6" w:kind="variable" w:selector="check" w:type="string" w:valueMode="normal" w:required="false" w:groupID="1">
    <w:identifier xml:space="preserve">ID6</w:identifier>
    <w:name xml:space="preserve">Daʼvogarning elektron manzili</w:name>
    <w:value w:hidden="false">
      <w:unit w:active="false"/>
    </w:value>
  </w:element>
  <w:element w:id="7" w:kind="variable" w:selector="check" w:type="string" w:valueMode="normal" w:required="false" w:groupID="1">
    <w:identifier xml:space="preserve">ID7</w:identifier>
    <w:name xml:space="preserve">Javobgarning F.I.O.</w:name>
    <w:value w:hidden="false">
      <w:unit w:active="false"/>
    </w:value>
  </w:element>
  <w:element w:id="8" w:kind="variable" w:selector="check" w:type="string" w:valueMode="normal" w:required="false" w:groupID="1">
    <w:identifier xml:space="preserve">ID8</w:identifier>
    <w:name xml:space="preserve">Javobgarning yashash manzili</w:name>
    <w:value w:hidden="false">
      <w:unit w:active="false"/>
    </w:value>
  </w:element>
  <w:element w:id="9" w:kind="variable" w:selector="check" w:type="string" w:valueMode="normal" w:required="false" w:groupID="1">
    <w:identifier xml:space="preserve">ID9</w:identifier>
    <w:name xml:space="preserve">Javobgarning telefon raqami</w:name>
    <w:value w:hidden="false">
      <w:unit w:active="false"/>
    </w:value>
  </w:element>
  <w:element w:id="10" w:kind="variable" w:selector="check" w:type="string" w:valueMode="normal" w:required="false" w:groupID="1">
    <w:identifier xml:space="preserve">ID10</w:identifier>
    <w:name xml:space="preserve">Javobgarning elektron manzili</w:name>
    <w:value w:hidden="false">
      <w:unit w:active="false"/>
    </w:value>
  </w:element>
  <w:element w:id="11" w:kind="variable" w:selector="check" w:type="string" w:valueMode="normal" w:required="false" w:groupID="1">
    <w:identifier xml:space="preserve">ID11</w:identifier>
    <w:name xml:space="preserve">Zarar yetkazilishiga olib kelgan maʼmuriy  huquqbuzarlik sodir etgan shaxsning F.I.Sh</w:name>
    <w:value w:hidden="false">
      <w:unit w:active="false"/>
    </w:value>
  </w:element>
  <w:element w:id="12" w:kind="variable" w:selector="check" w:type="string" w:valueMode="normal" w:required="false" w:groupID="1">
    <w:identifier xml:space="preserve">ID12</w:identifier>
    <w:name xml:space="preserve">Zarar yetkazilishiga olib kelgan maʼmuriy  huquqbuzarlikning nomi, vaqti va hujjat raqami (agar hujjat bilan rasmiylashtirilgan bo‘lsa)</w:name>
    <w:value w:hidden="false">
      <w:unit w:active="false"/>
    </w:value>
  </w:element>
  <w:element w:id="13" w:kind="variable" w:selector="check" w:type="string" w:valueMode="normal" w:required="false" w:groupID="1">
    <w:identifier xml:space="preserve">ID13</w:identifier>
    <w:name xml:space="preserve">Zarar miqdori</w:name>
    <w:value w:hidden="false">
      <w:unit w:active="false"/>
    </w:value>
  </w:element>
  <w:element w:id="14" w:kind="variable" w:selector="check" w:type="string" w:valueMode="normal" w:required="false" w:groupID="1">
    <w:identifier xml:space="preserve">ID14</w:identifier>
    <w:name xml:space="preserve">Zararni oldini olish uchun sarflangan mablag‘ miqdori</w:name>
    <w:value w:hidden="false">
      <w:unit w:active="false"/>
    </w:value>
  </w:element>
  <w:element w:id="15" w:kind="variable" w:selector="check" w:type="string" w:valueMode="normal" w:required="false" w:groupID="1">
    <w:identifier xml:space="preserve">ID15</w:identifier>
    <w:name xml:space="preserve">Ilova qilinayotgan boshqa hujjatning nomi</w:name>
    <w:value w:hidden="false">
      <w:unit w:active="false"/>
    </w:value>
  </w:element>
  <w:element w:id="16" w:kind="variable" w:selector="check" w:type="string" w:valueMode="normal" w:required="false" w:groupID="1">
    <w:identifier xml:space="preserve">ID16</w:identifier>
    <w:name xml:space="preserve">Daʼvo arizasi imzolangan sana</w:name>
    <w:value w:hidden="false">
      <w:unit w:active="false"/>
    </w:value>
  </w:element>
</w:structure>
</file>