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1"/>
        <w:jc w:val="center"/>
        <w:ind w:left="0"/>
      </w:pPr>
      <w:r>
        <w:t xml:space="preserve">Shartnoma </w:t>
      </w:r>
    </w:p>
    <w:p/>
    <w:p>
      <w:pPr>
        <w:jc w:val="center"/>
      </w:pP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Shartnoma tuzilgan sana</w:t>
        <w:fldChar w:fldCharType="end"/>
      </w:r>
      <w:r>
        <w:t xml:space="preserve">               №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Shartnoma raqami</w:t>
        <w:fldChar w:fldCharType="end"/>
      </w:r>
      <w:r>
        <w:tab/>
        <w:t xml:space="preserve">               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Shartnoma tuzilgan hudud</w:t>
        <w:fldChar w:fldCharType="end"/>
      </w:r>
    </w:p>
    <w:p>
      <w:pPr>
        <w:jc w:val="both"/>
        <w:ind w:firstLine="709"/>
      </w:pPr>
    </w:p>
    <w:p>
      <w:pPr>
        <w:jc w:val="both"/>
        <w:ind w:firstLine="709"/>
      </w:pPr>
      <w:r>
        <w:t xml:space="preserve">Bizlar kim, bir tomondan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Ish bajaruvchi korxonaning nomi va shakli</w:t>
        <w:fldChar w:fldCharType="end"/>
      </w:r>
      <w:r>
        <w:t xml:space="preserve"> korxonasi rahbari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Ish bajaruvchi korxona rahbarining F.I.O.</w:t>
        <w:fldChar w:fldCharType="end"/>
      </w:r>
      <w:r>
        <w:t xml:space="preserve">, keyinchalik “Ish bajaruvchi” deb nomlanadi va ikkinchi tomondan </w:t>
      </w:r>
      <w:r>
        <w:rPr>
          <w:vanish w:val="false"/>
        </w:rPr>
        <w:fldChar w:fldCharType="begin"/>
        <w:instrText xml:space="preserve">X {"Y":13}</w:instrText>
        <w:fldChar w:fldCharType="separate"/>
      </w:r>
      <w:r>
        <w:rPr>
          <w:vanish w:val="false"/>
        </w:rPr>
        <w:t xml:space="preserve">Buyurtmachi korxonaning nomi va shakli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Buyurtmachi korxona rahbarining F.I.O.</w:t>
        <w:fldChar w:fldCharType="end"/>
      </w:r>
      <w:r>
        <w:t xml:space="preserve"> kelgusida “Buyurtmachi” deb nomlanadi hamda “Ish bajaruvchi” taqdim etgan toʻlov xujjatlariga asosan belgilangan toʻlov ketma-ketligiga rioya qilgan holda byudjetdan mablagʻ oluvchining xarajatlar smetasida koʻzda tutilgan mablagʻ doirasida belgilangan tartibda gʻazna xisob-raqamidan toʻlovlarni amalga oshiruvchi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Moliya g‘azna bo‘limi hududi</w:t>
        <w:fldChar w:fldCharType="end"/>
      </w:r>
      <w:r>
        <w:t xml:space="preserve"> Moliya boshqarmasi gʻazna ijrosi boʻlimi “Toʻlovni amalga oshiruvchi” deb nomlanadi uchinchi tomon xisoblanib, oʻrtada ushbu shartnomani quyidagi mazmunda tuzdilar:</w:t>
      </w:r>
    </w:p>
    <w:p>
      <w:pPr>
        <w:jc w:val="center"/>
        <w:rPr>
          <w:b/>
        </w:rPr>
      </w:pPr>
      <w:r>
        <w:rPr>
          <w:b/>
        </w:rPr>
        <w:t xml:space="preserve">I. Shartnoma mazmuni</w:t>
      </w:r>
    </w:p>
    <w:p>
      <w:pPr>
        <w:jc w:val="both"/>
        <w:ind w:firstLine="709"/>
      </w:pPr>
      <w:r>
        <w:t xml:space="preserve">1.1. “Ish bajaruvchi” oʻzida tayyorlangan mahsulotni “Buyurtmachi”ga haqini toʻlagandan soʻng yetkazib beradi.</w:t>
      </w:r>
    </w:p>
    <w:p>
      <w:pPr>
        <w:jc w:val="both"/>
        <w:ind w:firstLine="709"/>
      </w:pPr>
      <w:r>
        <w:t xml:space="preserve">1.2. “Buyurtmachi” esa oʻz navbatida mahsulotni amaldagi qoidalar boʻyicha “Ish bajaruvchi” dan qabul qilib oladi va kerakli hujjatlarni “Toʻlovni amalga oshiruvchi”ga taqdim qiladi.</w:t>
      </w:r>
    </w:p>
    <w:p>
      <w:pPr>
        <w:jc w:val="center"/>
        <w:rPr>
          <w:b/>
        </w:rPr>
      </w:pPr>
      <w:r>
        <w:rPr>
          <w:b/>
        </w:rPr>
        <w:t xml:space="preserve">II. Shartnomaning umumiy qiymati va xisob-kitob qilish tartibi</w:t>
      </w:r>
    </w:p>
    <w:p>
      <w:pPr>
        <w:jc w:val="both"/>
        <w:ind w:firstLine="709"/>
      </w:pPr>
      <w:r>
        <w:t xml:space="preserve">2.1. “Ish bajaruvchi” umumiy qiymati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Shartnoma umumiy qiymati</w:t>
        <w:fldChar w:fldCharType="end"/>
      </w:r>
      <w:r>
        <w:t xml:space="preserve"> boʻlgan quyidagi miqdordagi kislorod mahsuloti bilan yil davomida taʼminlab borishni oʻz zimmasiga oladi:</w:t>
      </w:r>
    </w:p>
    <w:tbl>
      <w:tblPr>
        <w:tblW w:w="0" w:type="auto"/>
        <w:tblInd w:w="108" w:type="dxa"/>
        <w:tblBorders>
          <w:left w:sz="4" w:space="0" w:color="auto" w:val="single"/>
          <w:top w:sz="4" w:space="0" w:color="auto" w:val="single"/>
          <w:right w:sz="4" w:space="0" w:color="auto" w:val="single"/>
          <w:bottom w:sz="4" w:space="0" w:color="auto" w:val="single"/>
          <w:insideH w:sz="4" w:space="0" w:color="auto" w:val="single"/>
          <w:insideV w:sz="4" w:space="0" w:color="auto" w:val="single"/>
        </w:tblBorders>
      </w:tblPr>
      <w:tblGrid>
        <w:gridCol w:w="528"/>
        <w:gridCol w:w="1701"/>
        <w:gridCol w:w="1176"/>
        <w:gridCol w:w="1181"/>
        <w:gridCol w:w="1148"/>
        <w:gridCol w:w="1193"/>
        <w:gridCol w:w="1178"/>
        <w:gridCol w:w="1131"/>
      </w:tblGrid>
      <w:tr>
        <w:tc>
          <w:tcPr>
            <w:tcW w:w="53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Yetkazib beriladigan mahsulot nomi</w:t>
            </w: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Oʻlchov birligi (metr kub)</w:t>
            </w: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Miqdori</w:t>
            </w: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Narxi</w:t>
            </w:r>
          </w:p>
        </w:tc>
        <w:tc>
          <w:tcPr>
            <w:tcW w:w="119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Summasi</w:t>
            </w:r>
          </w:p>
        </w:tc>
        <w:tc>
          <w:tcPr>
            <w:tcW w:w="119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Yillik pul miqdori</w:t>
            </w:r>
          </w:p>
        </w:tc>
        <w:tc>
          <w:tcPr>
            <w:tcW w:w="119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Izox</w:t>
            </w:r>
          </w:p>
        </w:tc>
      </w:tr>
      <w:tr>
        <w:tc>
          <w:tcPr>
            <w:tcW w:w="539" w:type="dxa"/>
          </w:tcPr>
          <w:p/>
        </w:tc>
        <w:tc>
          <w:tcPr>
            <w:tcW w:w="1744" w:type="dxa"/>
          </w:tcPr>
          <w:p/>
        </w:tc>
        <w:tc>
          <w:tcPr>
            <w:tcW w:w="1196" w:type="dxa"/>
          </w:tcPr>
          <w:p/>
        </w:tc>
        <w:tc>
          <w:tcPr>
            <w:tcW w:w="1196" w:type="dxa"/>
          </w:tcPr>
          <w:p/>
        </w:tc>
        <w:tc>
          <w:tcPr>
            <w:tcW w:w="1196" w:type="dxa"/>
          </w:tcPr>
          <w:p/>
        </w:tc>
        <w:tc>
          <w:tcPr>
            <w:tcW w:w="1197" w:type="dxa"/>
          </w:tcPr>
          <w:p/>
        </w:tc>
        <w:tc>
          <w:tcPr>
            <w:tcW w:w="1197" w:type="dxa"/>
          </w:tcPr>
          <w:p/>
        </w:tc>
        <w:tc>
          <w:tcPr>
            <w:tcW w:w="1197" w:type="dxa"/>
          </w:tcPr>
          <w:p/>
        </w:tc>
      </w:tr>
      <w:tr>
        <w:tc>
          <w:tcPr>
            <w:tcW w:w="539" w:type="dxa"/>
          </w:tcPr>
          <w:p/>
        </w:tc>
        <w:tc>
          <w:tcPr>
            <w:tcW w:w="1744" w:type="dxa"/>
          </w:tcPr>
          <w:p/>
        </w:tc>
        <w:tc>
          <w:tcPr>
            <w:tcW w:w="1196" w:type="dxa"/>
          </w:tcPr>
          <w:p/>
        </w:tc>
        <w:tc>
          <w:tcPr>
            <w:tcW w:w="1196" w:type="dxa"/>
          </w:tcPr>
          <w:p/>
        </w:tc>
        <w:tc>
          <w:tcPr>
            <w:tcW w:w="1196" w:type="dxa"/>
          </w:tcPr>
          <w:p/>
        </w:tc>
        <w:tc>
          <w:tcPr>
            <w:tcW w:w="1197" w:type="dxa"/>
          </w:tcPr>
          <w:p/>
        </w:tc>
        <w:tc>
          <w:tcPr>
            <w:tcW w:w="1197" w:type="dxa"/>
          </w:tcPr>
          <w:p/>
        </w:tc>
        <w:tc>
          <w:tcPr>
            <w:tcW w:w="1197" w:type="dxa"/>
          </w:tcPr>
          <w:p/>
        </w:tc>
      </w:tr>
      <w:tr>
        <w:tc>
          <w:tcPr>
            <w:tcW w:w="539" w:type="dxa"/>
          </w:tcPr>
          <w:p/>
        </w:tc>
        <w:tc>
          <w:tcPr>
            <w:tcW w:w="1744" w:type="dxa"/>
          </w:tcPr>
          <w:p/>
        </w:tc>
        <w:tc>
          <w:tcPr>
            <w:tcW w:w="1196" w:type="dxa"/>
          </w:tcPr>
          <w:p/>
        </w:tc>
        <w:tc>
          <w:tcPr>
            <w:tcW w:w="1196" w:type="dxa"/>
          </w:tcPr>
          <w:p/>
        </w:tc>
        <w:tc>
          <w:tcPr>
            <w:tcW w:w="1196" w:type="dxa"/>
          </w:tcPr>
          <w:p/>
        </w:tc>
        <w:tc>
          <w:tcPr>
            <w:tcW w:w="1197" w:type="dxa"/>
          </w:tcPr>
          <w:p/>
        </w:tc>
        <w:tc>
          <w:tcPr>
            <w:tcW w:w="1197" w:type="dxa"/>
          </w:tcPr>
          <w:p/>
        </w:tc>
        <w:tc>
          <w:tcPr>
            <w:tcW w:w="1197" w:type="dxa"/>
          </w:tcPr>
          <w:p/>
        </w:tc>
      </w:tr>
      <w:tr>
        <w:tc>
          <w:tcPr>
            <w:tcW w:w="539" w:type="dxa"/>
          </w:tcPr>
          <w:p/>
        </w:tc>
        <w:tc>
          <w:tcPr>
            <w:tcW w:w="1744" w:type="dxa"/>
          </w:tcPr>
          <w:p/>
        </w:tc>
        <w:tc>
          <w:tcPr>
            <w:tcW w:w="1196" w:type="dxa"/>
          </w:tcPr>
          <w:p/>
        </w:tc>
        <w:tc>
          <w:tcPr>
            <w:tcW w:w="1196" w:type="dxa"/>
          </w:tcPr>
          <w:p/>
        </w:tc>
        <w:tc>
          <w:tcPr>
            <w:tcW w:w="1196" w:type="dxa"/>
          </w:tcPr>
          <w:p/>
        </w:tc>
        <w:tc>
          <w:tcPr>
            <w:tcW w:w="1197" w:type="dxa"/>
          </w:tcPr>
          <w:p/>
        </w:tc>
        <w:tc>
          <w:tcPr>
            <w:tcW w:w="1197" w:type="dxa"/>
          </w:tcPr>
          <w:p/>
        </w:tc>
        <w:tc>
          <w:tcPr>
            <w:tcW w:w="1197" w:type="dxa"/>
          </w:tcPr>
          <w:p/>
        </w:tc>
      </w:tr>
    </w:tbl>
    <w:p>
      <w:pPr>
        <w:jc w:val="both"/>
        <w:ind w:firstLine="709"/>
      </w:pPr>
      <w:r>
        <w:t xml:space="preserve">2.2. “Toʻlovni amalga oshiruvchi” “Ish bajaruvchi” tomonidan taqdim etilgan kislorod mahsuloti uchun qonunda belgilangan tartibdagi toʻlovni amalga oshirish majburiyatini oladi.</w:t>
      </w:r>
    </w:p>
    <w:p>
      <w:pPr>
        <w:jc w:val="center"/>
        <w:rPr>
          <w:b/>
        </w:rPr>
      </w:pPr>
      <w:r>
        <w:rPr>
          <w:b/>
        </w:rPr>
        <w:t xml:space="preserve">III. Tomonlarning xuquqlari va majburiyatlari</w:t>
      </w:r>
    </w:p>
    <w:p>
      <w:pPr>
        <w:jc w:val="both"/>
        <w:ind w:left="709"/>
      </w:pPr>
      <w:r>
        <w:t xml:space="preserve">3.1. “Ish bajaruvchi” ning xuquq va majburiyatlari:</w:t>
      </w:r>
    </w:p>
    <w:p>
      <w:pPr>
        <w:numPr>
          <w:numId w:val="2"/>
          <w:ilvl w:val="2"/>
        </w:numPr>
        <w:jc w:val="both"/>
        <w:ind w:left="0" w:firstLine="709"/>
        <w:tabs>
          <w:tab w:val="num" w:pos="0"/>
        </w:tabs>
      </w:pPr>
      <w:r>
        <w:t xml:space="preserve">Kislorod yetkazib berishni “Buyurtmachi” bilan kelishilgan holda amalga oshiradi.</w:t>
      </w:r>
    </w:p>
    <w:p>
      <w:pPr>
        <w:numPr>
          <w:numId w:val="2"/>
          <w:ilvl w:val="2"/>
        </w:numPr>
        <w:jc w:val="both"/>
        <w:ind w:left="0" w:firstLine="709"/>
        <w:tabs>
          <w:tab w:val="num" w:pos="0"/>
        </w:tabs>
      </w:pPr>
      <w:r>
        <w:t xml:space="preserve">Mahsulot yetkazib berishni shartnomada belgilangan tartibda va muddatda amalga oshirishni oʻz zimmasiga oladi.</w:t>
      </w:r>
    </w:p>
    <w:p>
      <w:pPr>
        <w:numPr>
          <w:numId w:val="2"/>
          <w:ilvl w:val="1"/>
        </w:numPr>
        <w:jc w:val="both"/>
        <w:ind w:left="0" w:firstLine="709"/>
        <w:tabs>
          <w:tab w:val="clear" w:pos="495"/>
          <w:tab w:val="num" w:pos="0"/>
        </w:tabs>
      </w:pPr>
      <w:r>
        <w:t xml:space="preserve">“Buyurtmachi” ning xuquq va majburiyatlari:</w:t>
      </w:r>
    </w:p>
    <w:p>
      <w:pPr>
        <w:numPr>
          <w:numId w:val="2"/>
          <w:ilvl w:val="2"/>
        </w:numPr>
        <w:jc w:val="both"/>
        <w:ind w:left="0" w:firstLine="709"/>
        <w:tabs>
          <w:tab w:val="num" w:pos="0"/>
        </w:tabs>
      </w:pPr>
      <w:r>
        <w:t xml:space="preserve">“Ish bajaruvchi”ga olinadigan mahsulot uchun avvaldan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Avvaldan to‘lanidigan avans foizi</w:t>
        <w:fldChar w:fldCharType="end"/>
      </w:r>
      <w:r>
        <w:t xml:space="preserve">% miqdorida avans toʻlaydi.</w:t>
      </w:r>
    </w:p>
    <w:p>
      <w:pPr>
        <w:numPr>
          <w:numId w:val="2"/>
          <w:ilvl w:val="2"/>
        </w:numPr>
        <w:jc w:val="both"/>
        <w:ind w:left="0" w:firstLine="709"/>
        <w:tabs>
          <w:tab w:val="num" w:pos="0"/>
        </w:tabs>
      </w:pPr>
      <w:r>
        <w:t xml:space="preserve">Olingan mahsulotning qolgan pulini bir oylik muddat ichida toʻlab berish kafolatini beradi.</w:t>
      </w:r>
    </w:p>
    <w:p>
      <w:pPr>
        <w:numPr>
          <w:numId w:val="2"/>
          <w:ilvl w:val="2"/>
        </w:numPr>
        <w:jc w:val="both"/>
        <w:ind w:left="0" w:firstLine="709"/>
        <w:tabs>
          <w:tab w:val="num" w:pos="0"/>
        </w:tabs>
      </w:pPr>
      <w:r>
        <w:t xml:space="preserve">Mahsulotni oʻz vaqtida qabul qilib oladi.</w:t>
      </w:r>
    </w:p>
    <w:p>
      <w:pPr>
        <w:numPr>
          <w:numId w:val="2"/>
          <w:ilvl w:val="2"/>
        </w:numPr>
        <w:jc w:val="both"/>
        <w:ind w:left="0" w:firstLine="709"/>
        <w:tabs>
          <w:tab w:val="num" w:pos="0"/>
        </w:tabs>
      </w:pPr>
      <w:r>
        <w:t xml:space="preserve">Kislorod mahsulotini maxsus jihozlangan transport vositalarida tashish va xavfsizlik texnikasi qonun-qoidalarini toʻla taʼminlashni oʻz zimmasiga oladi.</w:t>
      </w:r>
    </w:p>
    <w:p>
      <w:pPr>
        <w:jc w:val="center"/>
        <w:rPr>
          <w:b/>
        </w:rPr>
      </w:pPr>
      <w:r>
        <w:rPr>
          <w:b/>
        </w:rPr>
        <w:t xml:space="preserve">IV. Tomonlarning javobgarligi</w:t>
      </w:r>
    </w:p>
    <w:p>
      <w:pPr>
        <w:jc w:val="both"/>
        <w:ind w:firstLine="709"/>
      </w:pPr>
      <w:r>
        <w:t xml:space="preserve">4.1. Tomonlar ushbu shartnoma bilan oʻzlariga yuklatilgan majburiyatlarni bajarmasalar yoki bajarishni kechiktirsalar, har bir kun uchun shartnomani umumiy qiymatining </w:t>
      </w:r>
      <w:r>
        <w:rPr>
          <w:vanish w:val="false"/>
        </w:rPr>
        <w:fldChar w:fldCharType="begin"/>
        <w:instrText xml:space="preserve">X {"Y":19}</w:instrText>
        <w:fldChar w:fldCharType="separate"/>
      </w:r>
      <w:r>
        <w:rPr>
          <w:vanish w:val="false"/>
        </w:rPr>
        <w:t xml:space="preserve">Penya foizi</w:t>
        <w:fldChar w:fldCharType="end"/>
      </w:r>
      <w:r>
        <w:t xml:space="preserve"> foizi miqdorida penya (boqimandalik) xamda majburiyatlarini bajarmaganliklari uchun </w:t>
      </w:r>
      <w:r>
        <w:rPr>
          <w:vanish w:val="false"/>
        </w:rPr>
        <w:fldChar w:fldCharType="begin"/>
        <w:instrText xml:space="preserve">X {"Y":20}</w:instrText>
        <w:fldChar w:fldCharType="separate"/>
      </w:r>
      <w:r>
        <w:rPr>
          <w:vanish w:val="false"/>
        </w:rPr>
        <w:t xml:space="preserve">Majburiyatlarni bajarmaganlik uchun jarima miqdori</w:t>
        <w:fldChar w:fldCharType="end"/>
      </w:r>
      <w:r>
        <w:t xml:space="preserve"> % miqdorida jarima toʻlaydi, lekin penyaning miqdori shartnomani umumiy qiymatining </w:t>
      </w:r>
      <w:r>
        <w:rPr>
          <w:vanish w:val="false"/>
        </w:rPr>
        <w:fldChar w:fldCharType="begin"/>
        <w:instrText xml:space="preserve">X {"Y":21}</w:instrText>
        <w:fldChar w:fldCharType="separate"/>
      </w:r>
      <w:r>
        <w:rPr>
          <w:vanish w:val="false"/>
        </w:rPr>
        <w:t xml:space="preserve">Penya maksimal foizi (miqdori, shartnoma summasidan)</w:t>
        <w:fldChar w:fldCharType="end"/>
      </w:r>
      <w:r>
        <w:t xml:space="preserve">  foizidan ortib ketmasligi shart.</w:t>
      </w:r>
    </w:p>
    <w:p>
      <w:pPr>
        <w:jc w:val="both"/>
        <w:ind w:firstLine="709"/>
      </w:pPr>
      <w:r>
        <w:t xml:space="preserve">4.2. Mazkur shartnoma imzolashga tayyorlash jarayonida Oʻzbekiston Respublikasi “Xoʻjalik yurituvchi subyektlar faoliyatining shartnomaviy xuquqiy bazasi toʻgʻrisida”gi qonun talablariga rioya qilishi shart.</w:t>
      </w:r>
    </w:p>
    <w:p>
      <w:pPr>
        <w:jc w:val="both"/>
        <w:ind w:firstLine="709"/>
      </w:pPr>
      <w:r>
        <w:t xml:space="preserve">4.3. Neustoyka (jarima, penya) toʻlaganligidan qatʼi nazar, shartnoma majburiyatlarini buzgan taraf ikkinchi tarafga ana shu zarar oqibatida oʻzi yetkazgan zarar qismini ham qoplaydi.</w:t>
      </w:r>
    </w:p>
    <w:p>
      <w:pPr>
        <w:jc w:val="both"/>
        <w:ind w:firstLine="709"/>
      </w:pPr>
      <w:r>
        <w:t xml:space="preserve">Yetkazilgan zararlarga shartnoma majburiyatlari bajarilmaganligi yoki lozim darajada bajarilmaganligi, mol-mulk yoʻqolishi yoki shikastlanishi munosabati bilan taraf qilgan yoki qilishi lozim boʻlgan xarajatlar, shuningdek agar ikkinchi taraf shartnoma majburiyatlarini bajarganida taraf olishi mumkin boʻlgan, lekin ololmay qolgan daromadlar kiradi.</w:t>
      </w:r>
    </w:p>
    <w:p>
      <w:pPr>
        <w:jc w:val="center"/>
        <w:rPr>
          <w:b/>
        </w:rPr>
      </w:pPr>
      <w:r>
        <w:rPr>
          <w:b/>
        </w:rPr>
        <w:t xml:space="preserve">V. Fors-major xolatlari</w:t>
      </w:r>
    </w:p>
    <w:p>
      <w:pPr>
        <w:jc w:val="both"/>
        <w:ind w:firstLine="709"/>
      </w:pPr>
      <w:r>
        <w:t xml:space="preserve">5.1. Shartnoma muddati davomida fors-major holatlari, yaʼni favqulodda vaziyat xolatlari, tabiiy ofatlar, jamoa tartibsizliklari va xokazolar yuz bergan holatlarda shartnoma boʻyicha oʻz majburiyatlarini soqit qilinadi.</w:t>
      </w:r>
    </w:p>
    <w:p>
      <w:pPr>
        <w:jc w:val="both"/>
        <w:ind w:firstLine="709"/>
        <w:rPr>
          <w:b/>
        </w:rPr>
      </w:pPr>
      <w:r>
        <w:t xml:space="preserve">5.2. Yuzaga kelgan fors-major xolatlari boʻyicha tomonlar bir-birlarini zudlik bilan xabardor qilishlari shart.</w:t>
      </w:r>
    </w:p>
    <w:p>
      <w:pPr>
        <w:jc w:val="center"/>
        <w:rPr>
          <w:b/>
        </w:rPr>
      </w:pPr>
      <w:r>
        <w:rPr>
          <w:b/>
        </w:rPr>
        <w:t xml:space="preserve">VI. Nizolarni xal qilish tartibi</w:t>
      </w:r>
    </w:p>
    <w:p>
      <w:pPr>
        <w:jc w:val="both"/>
        <w:ind w:firstLine="709"/>
      </w:pPr>
      <w:r>
        <w:t xml:space="preserve">6.1. Taraflar oʻrtasida ushbu shartnoma boʻyicha yoki u bilan bogʻlik yuzaga kelgan barcha kelishmovchiliklar taraflar oʻrtasida muzokara yoʻli bilan xal qilinadi.</w:t>
      </w:r>
    </w:p>
    <w:p>
      <w:pPr>
        <w:jc w:val="both"/>
        <w:ind w:firstLine="709"/>
      </w:pPr>
      <w:r>
        <w:t xml:space="preserve">6.2. Agar kelishmovchiliklarni muzokara yoʻli bilan xal qilib boʻlmasa, ular qonun xujjatlarida belgilangan tartibda iqtisodiy sudi orqali xal qilinadi.</w:t>
      </w:r>
    </w:p>
    <w:p>
      <w:pPr>
        <w:jc w:val="center"/>
        <w:rPr>
          <w:b/>
        </w:rPr>
      </w:pPr>
      <w:r>
        <w:rPr>
          <w:b/>
        </w:rPr>
        <w:t xml:space="preserve">VII. Shartnomaga qoʻshimcha va oʻzgartirishlar kiritish tartibi</w:t>
      </w:r>
    </w:p>
    <w:p>
      <w:pPr>
        <w:jc w:val="both"/>
        <w:ind w:firstLine="851"/>
      </w:pPr>
      <w:r>
        <w:t xml:space="preserve">7.1. Ushbu shartnomaga kiritilgan barcha qoʻshimcha va oʻzgartirishlar fakat ikkala tomondan yozma ravishda imzo qoʻyilgandan keyingina yuridik kuchga ega boʻladi.</w:t>
      </w:r>
    </w:p>
    <w:p>
      <w:pPr>
        <w:jc w:val="both"/>
        <w:ind w:firstLine="851"/>
      </w:pPr>
      <w:r>
        <w:t xml:space="preserve">7.2. Shartnomani taraflar oʻzaro kelishuviga asosan Oʻzbekiston Respublikasi "Fuqarolik Kodeksi" va amaldagi qonun xujjatlari meʼyorlariga binoan keltirilgan zararni toʻlagan xolda muddatidan ilgari bekor qilish mumkin.</w:t>
      </w:r>
    </w:p>
    <w:p>
      <w:pPr>
        <w:jc w:val="center"/>
        <w:rPr>
          <w:b/>
        </w:rPr>
      </w:pPr>
      <w:r>
        <w:rPr>
          <w:b/>
        </w:rPr>
        <w:t xml:space="preserve">VIII. Qoʻshimcha shartlar</w:t>
      </w:r>
    </w:p>
    <w:p>
      <w:r>
        <w:rPr>
          <w:vanish w:val="false"/>
        </w:rPr>
        <w:fldChar w:fldCharType="begin"/>
        <w:instrText xml:space="preserve">X {"Y":22}</w:instrText>
        <w:fldChar w:fldCharType="separate"/>
      </w:r>
      <w:r>
        <w:rPr>
          <w:vanish w:val="false"/>
        </w:rPr>
        <w:t xml:space="preserve">Qo‘shimcha shartlar</w:t>
        <w:fldChar w:fldCharType="end"/>
      </w:r>
    </w:p>
    <w:p>
      <w:pPr>
        <w:jc w:val="center"/>
        <w:rPr>
          <w:b/>
        </w:rPr>
      </w:pPr>
      <w:r>
        <w:rPr>
          <w:b/>
        </w:rPr>
        <w:t xml:space="preserve">IX. Tomonlarning rekvizitlari:</w:t>
      </w:r>
    </w:p>
    <w:p>
      <w:pPr>
        <w:jc w:val="center"/>
      </w:pPr>
    </w:p>
    <w:tbl>
      <w:tblPr>
        <w:tblW w:w="0" w:type="auto"/>
      </w:tblPr>
      <w:tblGrid>
        <w:gridCol w:w="4673"/>
        <w:gridCol w:w="4681"/>
      </w:tblGrid>
      <w:tr>
        <w:tc>
          <w:tcPr>
            <w:tcW w:w="4785" w:type="dxa"/>
            <w:shd w:fill="auto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“Ish bajaruvchi”</w:t>
            </w:r>
          </w:p>
        </w:tc>
        <w:tc>
          <w:tcPr>
            <w:tcW w:w="4785" w:type="dxa"/>
            <w:shd w:fill="auto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“Buyurtmachi”</w:t>
            </w:r>
          </w:p>
        </w:tc>
      </w:tr>
      <w:tr>
        <w:tc>
          <w:tcPr>
            <w:tcW w:w="4785" w:type="dxa"/>
            <w:shd w:fill="auto"/>
          </w:tcPr>
          <w:p>
            <w:pPr>
              <w:rPr>
                <w:i/>
              </w:rPr>
            </w:pPr>
            <w:r>
              <w:rPr>
                <w:vanish w:val="false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</w:rPr>
              <w:t xml:space="preserve">Ish bajaruvchining nomi va shakli</w:t>
              <w:fldChar w:fldCharType="end"/>
            </w:r>
          </w:p>
        </w:tc>
        <w:tc>
          <w:tcPr>
            <w:tcW w:w="4785" w:type="dxa"/>
            <w:shd w:fill="auto"/>
          </w:tcPr>
          <w:p>
            <w:r>
              <w:rPr>
                <w:vanish w:val="false"/>
              </w:rPr>
              <w:fldChar w:fldCharType="begin"/>
              <w:instrText xml:space="preserve">X {"Y":33}</w:instrText>
              <w:fldChar w:fldCharType="separate"/>
            </w:r>
            <w:r>
              <w:rPr>
                <w:vanish w:val="false"/>
              </w:rPr>
              <w:t xml:space="preserve">Buyurtmachining nomi va shakli</w:t>
              <w:fldChar w:fldCharType="end"/>
            </w:r>
          </w:p>
        </w:tc>
      </w:tr>
      <w:tr>
        <w:tc>
          <w:tcPr>
            <w:tcW w:w="4785" w:type="dxa"/>
            <w:shd w:fill="auto"/>
          </w:tcPr>
          <w:p>
            <w:r>
              <w:t xml:space="preserve">X/r: </w:t>
            </w:r>
            <w:r>
              <w:rPr>
                <w:vanish w:val="false"/>
              </w:rPr>
              <w:fldChar w:fldCharType="begin"/>
              <w:instrText xml:space="preserve">X {"Y":25}</w:instrText>
              <w:fldChar w:fldCharType="separate"/>
            </w:r>
            <w:r>
              <w:rPr>
                <w:vanish w:val="false"/>
              </w:rPr>
              <w:t xml:space="preserve">Ish bajaruvchining hisobraqami</w:t>
              <w:fldChar w:fldCharType="end"/>
            </w:r>
            <w:r>
              <w:t>,</w:t>
            </w:r>
          </w:p>
        </w:tc>
        <w:tc>
          <w:tcPr>
            <w:tcW w:w="4785" w:type="dxa"/>
            <w:shd w:fill="auto"/>
          </w:tcPr>
          <w:p>
            <w:r>
              <w:t>X/r: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{"Y":34}</w:instrText>
              <w:fldChar w:fldCharType="separate"/>
            </w:r>
            <w:r>
              <w:rPr>
                <w:vanish w:val="false"/>
              </w:rPr>
              <w:t xml:space="preserve">Buyurtmachining hisobraqami</w:t>
              <w:fldChar w:fldCharType="end"/>
            </w:r>
            <w:r>
              <w:t>,</w:t>
            </w:r>
          </w:p>
        </w:tc>
      </w:tr>
      <w:tr>
        <w:tc>
          <w:tcPr>
            <w:tcW w:w="4785" w:type="dxa"/>
            <w:shd w:fill="auto"/>
          </w:tcPr>
          <w:p>
            <w:r>
              <w:t xml:space="preserve">Bank </w:t>
            </w:r>
            <w:r>
              <w:rPr>
                <w:vanish w:val="false"/>
              </w:rPr>
              <w:fldChar w:fldCharType="begin"/>
              <w:instrText xml:space="preserve">X {"Y":26}</w:instrText>
              <w:fldChar w:fldCharType="separate"/>
            </w:r>
            <w:r>
              <w:rPr>
                <w:vanish w:val="false"/>
              </w:rPr>
              <w:t xml:space="preserve">Ish bajaruvchining bank nomi</w:t>
              <w:fldChar w:fldCharType="end"/>
            </w:r>
            <w:r>
              <w:t>,</w:t>
            </w:r>
          </w:p>
        </w:tc>
        <w:tc>
          <w:tcPr>
            <w:tcW w:w="4785" w:type="dxa"/>
            <w:shd w:fill="auto"/>
          </w:tcPr>
          <w:p>
            <w:r>
              <w:t xml:space="preserve">Bank: </w:t>
            </w:r>
            <w:r>
              <w:rPr>
                <w:vanish w:val="false"/>
              </w:rPr>
              <w:fldChar w:fldCharType="begin"/>
              <w:instrText xml:space="preserve">X {"Y":35}</w:instrText>
              <w:fldChar w:fldCharType="separate"/>
            </w:r>
            <w:r>
              <w:rPr>
                <w:vanish w:val="false"/>
              </w:rPr>
              <w:t xml:space="preserve">Buyurtmachining bank nomi</w:t>
              <w:fldChar w:fldCharType="end"/>
            </w:r>
            <w:r>
              <w:t>,</w:t>
            </w:r>
          </w:p>
        </w:tc>
      </w:tr>
      <w:tr>
        <w:tc>
          <w:tcPr>
            <w:tcW w:w="4785" w:type="dxa"/>
            <w:shd w:fill="auto"/>
          </w:tcPr>
          <w:p>
            <w:r>
              <w:t>MFO: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{"Y":27}</w:instrText>
              <w:fldChar w:fldCharType="separate"/>
            </w:r>
            <w:r>
              <w:rPr>
                <w:vanish w:val="false"/>
              </w:rPr>
              <w:t xml:space="preserve">Ish bajaruvchining bank MFO raqami</w:t>
              <w:fldChar w:fldCharType="end"/>
            </w:r>
            <w:r>
              <w:t>,</w:t>
            </w:r>
          </w:p>
        </w:tc>
        <w:tc>
          <w:tcPr>
            <w:tcW w:w="4785" w:type="dxa"/>
            <w:shd w:fill="auto"/>
          </w:tcPr>
          <w:p>
            <w:r>
              <w:t>MFO: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{"Y":36}</w:instrText>
              <w:fldChar w:fldCharType="separate"/>
            </w:r>
            <w:r>
              <w:rPr>
                <w:vanish w:val="false"/>
              </w:rPr>
              <w:t xml:space="preserve">Buyurtmachining bank MFO raqami</w:t>
              <w:fldChar w:fldCharType="end"/>
            </w:r>
            <w:r>
              <w:t>,</w:t>
            </w:r>
          </w:p>
        </w:tc>
      </w:tr>
      <w:tr>
        <w:tc>
          <w:tcPr>
            <w:tcW w:w="4785" w:type="dxa"/>
            <w:shd w:fill="auto"/>
          </w:tcPr>
          <w:p>
            <w:r>
              <w:t>INN: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</w:rPr>
              <w:t xml:space="preserve">Ish bajaruvchining STIR raqami</w:t>
              <w:fldChar w:fldCharType="end"/>
            </w:r>
            <w:r>
              <w:t>,</w:t>
            </w:r>
          </w:p>
        </w:tc>
        <w:tc>
          <w:tcPr>
            <w:tcW w:w="4785" w:type="dxa"/>
            <w:shd w:fill="auto"/>
          </w:tcPr>
          <w:p>
            <w:r>
              <w:t>INN: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{"Y":37}</w:instrText>
              <w:fldChar w:fldCharType="separate"/>
              <w:t xml:space="preserve">Buyurtmachining STIR raqami</w:t>
            </w:r>
            <w:r>
              <w:rPr>
                <w:vanish w:val="false"/>
              </w:rPr>
              <w:fldChar w:fldCharType="end"/>
            </w:r>
            <w:r>
              <w:t>,</w:t>
            </w:r>
          </w:p>
        </w:tc>
      </w:tr>
      <w:tr>
        <w:tc>
          <w:tcPr>
            <w:tcW w:w="4785" w:type="dxa"/>
            <w:shd w:fill="auto"/>
          </w:tcPr>
          <w:p>
            <w:r>
              <w:t>OKONX: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{"Y":29}</w:instrText>
              <w:fldChar w:fldCharType="separate"/>
            </w:r>
            <w:r>
              <w:rPr>
                <w:vanish w:val="false"/>
              </w:rPr>
              <w:t xml:space="preserve">Ish bajaruvchining OKONX raqami</w:t>
              <w:fldChar w:fldCharType="end"/>
            </w:r>
            <w:r>
              <w:t>,</w:t>
            </w:r>
          </w:p>
        </w:tc>
        <w:tc>
          <w:tcPr>
            <w:tcW w:w="4785" w:type="dxa"/>
            <w:shd w:fill="auto"/>
          </w:tcPr>
          <w:p>
            <w:r>
              <w:t>OKONX: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{"Y":38}</w:instrText>
              <w:fldChar w:fldCharType="separate"/>
            </w:r>
            <w:r>
              <w:rPr>
                <w:vanish w:val="false"/>
              </w:rPr>
              <w:t xml:space="preserve">Buyurtmachining OKONX raqami</w:t>
              <w:fldChar w:fldCharType="end"/>
            </w:r>
          </w:p>
        </w:tc>
      </w:tr>
      <w:tr>
        <w:tc>
          <w:tcPr>
            <w:tcW w:w="4785" w:type="dxa"/>
            <w:shd w:fill="auto"/>
          </w:tcPr>
          <w:p>
            <w:r>
              <w:t>Manzil: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{"Y":30}</w:instrText>
              <w:fldChar w:fldCharType="separate"/>
            </w:r>
            <w:r>
              <w:rPr>
                <w:vanish w:val="false"/>
              </w:rPr>
              <w:t xml:space="preserve">Ish bajaruvchining yuridik manzili</w:t>
              <w:fldChar w:fldCharType="end"/>
            </w:r>
          </w:p>
        </w:tc>
        <w:tc>
          <w:tcPr>
            <w:tcW w:w="4785" w:type="dxa"/>
            <w:shd w:fill="auto"/>
          </w:tcPr>
          <w:p>
            <w:r>
              <w:t>Manzil: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{"Y":39}</w:instrText>
              <w:fldChar w:fldCharType="separate"/>
            </w:r>
            <w:r>
              <w:rPr>
                <w:vanish w:val="false"/>
              </w:rPr>
              <w:t xml:space="preserve">Buyurtmachining yuridik manzili</w:t>
              <w:fldChar w:fldCharType="end"/>
            </w:r>
          </w:p>
        </w:tc>
      </w:tr>
      <w:tr>
        <w:tc>
          <w:tcPr>
            <w:tcW w:w="4785" w:type="dxa"/>
            <w:shd w:fill="auto"/>
          </w:tcPr>
          <w:p>
            <w:r>
              <w:t>Raxbar: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{"Y":31}</w:instrText>
              <w:fldChar w:fldCharType="separate"/>
            </w:r>
            <w:r>
              <w:rPr>
                <w:vanish w:val="false"/>
              </w:rPr>
              <w:t xml:space="preserve">Ish bajaruvchi rahbarining F.I.O.</w:t>
              <w:fldChar w:fldCharType="end"/>
            </w:r>
          </w:p>
        </w:tc>
        <w:tc>
          <w:tcPr>
            <w:tcW w:w="4785" w:type="dxa"/>
            <w:shd w:fill="auto"/>
          </w:tcPr>
          <w:p>
            <w:r>
              <w:t>Raxbar:</w:t>
            </w: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{"Y":40}</w:instrText>
              <w:fldChar w:fldCharType="separate"/>
            </w:r>
            <w:r>
              <w:rPr>
                <w:vanish w:val="false"/>
              </w:rPr>
              <w:t xml:space="preserve">Buyurtmachi rahbarining F.I.O.</w:t>
              <w:fldChar w:fldCharType="end"/>
            </w:r>
          </w:p>
        </w:tc>
      </w:tr>
    </w:tbl>
    <w:p/>
    <w:p>
      <w:pPr>
        <w:rPr>
          <w:b/>
        </w:rPr>
      </w:pPr>
      <w:r>
        <w:rPr>
          <w:b/>
        </w:rPr>
        <w:t xml:space="preserve">“Byudjetdan mablagʻ oluvchilarning shartnomalarini roʻyxatdan oʻtkazish va  xarajatlari toʻlovini nazorat qilish boʻlimi”</w:t>
      </w:r>
    </w:p>
    <w:p/>
    <w:p>
      <w:r>
        <w:rPr>
          <w:vanish w:val="false"/>
        </w:rPr>
        <w:fldChar w:fldCharType="begin"/>
        <w:instrText xml:space="preserve">X {"Y":41}</w:instrText>
        <w:fldChar w:fldCharType="separate"/>
      </w:r>
      <w:r>
        <w:rPr>
          <w:vanish w:val="false"/>
        </w:rPr>
        <w:t xml:space="preserve">Sharnomani ro‘yxatga oluvchi bo‘limning rekvizitlari</w:t>
        <w:fldChar w:fldCharType="end"/>
      </w:r>
    </w:p>
    <w:sectPr>
      <w:pgSz w:w="11906" w:h="16838"/>
      <w:pgMar w:left="1701" w:right="851" w:top="851" w:bottom="851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77753"/>
    <w:multiLevelType w:val="hybridMultilevel"/>
    <w:tmpl w:val="B1E8A750"/>
    <w:lvl w:ilvl="0" w:tplc="429CBF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F07C6E"/>
    <w:multiLevelType w:val="hybridMultilevel"/>
    <w:tmpl w:val="C09C99EC"/>
    <w:lvl w:ilvl="0" w:tplc="2C24CFD6">
      <w:start w:val="1"/>
      <w:numFmt w:val="upperRoman"/>
      <w:lvlText w:val="%1."/>
      <w:lvlJc w:val="left"/>
      <w:pPr>
        <w:ind w:left="17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 w15:restartNumberingAfterBreak="0">
    <w:nsid w:val="218106BA"/>
    <w:multiLevelType w:val="hybridMultilevel"/>
    <w:tmpl w:val="BA2EE7E2"/>
    <w:lvl w:ilvl="0" w:tplc="27A8D818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3" w15:restartNumberingAfterBreak="0">
    <w:nsid w:val="7F3F73A7"/>
    <w:multiLevelType w:val="multilevel"/>
    <w:tmpl w:val="20A85752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231"/>
    <w:rsid w:val="00010AEF"/>
    <w:rsid w:val="00064B03"/>
    <w:rsid w:val="0008348F"/>
    <w:rsid w:val="00095802"/>
    <w:rsid w:val="000C61A6"/>
    <w:rsid w:val="000E1EF2"/>
    <w:rsid w:val="001027C7"/>
    <w:rsid w:val="00102992"/>
    <w:rsid w:val="0011254C"/>
    <w:rsid w:val="0014506E"/>
    <w:rsid w:val="001768B5"/>
    <w:rsid w:val="0019196A"/>
    <w:rsid w:val="001A0A43"/>
    <w:rsid w:val="001E781C"/>
    <w:rsid w:val="002119C3"/>
    <w:rsid w:val="00245BD3"/>
    <w:rsid w:val="0027319A"/>
    <w:rsid w:val="002B43A2"/>
    <w:rsid w:val="00333220"/>
    <w:rsid w:val="003751CE"/>
    <w:rsid w:val="003929B4"/>
    <w:rsid w:val="004756EF"/>
    <w:rsid w:val="004B4136"/>
    <w:rsid w:val="00553228"/>
    <w:rsid w:val="005D3758"/>
    <w:rsid w:val="005E28A6"/>
    <w:rsid w:val="00711652"/>
    <w:rsid w:val="00745261"/>
    <w:rsid w:val="00801143"/>
    <w:rsid w:val="00830231"/>
    <w:rsid w:val="008C56DF"/>
    <w:rsid w:val="00983098"/>
    <w:rsid w:val="009851F3"/>
    <w:rsid w:val="00990F9A"/>
    <w:rsid w:val="009B3880"/>
    <w:rsid w:val="009D4A04"/>
    <w:rsid w:val="009F3731"/>
    <w:rsid w:val="00A25455"/>
    <w:rsid w:val="00A93ED5"/>
    <w:rsid w:val="00AA2CCC"/>
    <w:rsid w:val="00AC6E5D"/>
    <w:rsid w:val="00B133EE"/>
    <w:rsid w:val="00B6443B"/>
    <w:rsid w:val="00B730A9"/>
    <w:rsid w:val="00B81A18"/>
    <w:rsid w:val="00CD157A"/>
    <w:rsid w:val="00CE0B01"/>
    <w:rsid w:val="00D62098"/>
    <w:rsid w:val="00D6725E"/>
    <w:rsid w:val="00D95B69"/>
    <w:rsid w:val="00FF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5792C-BDBC-4D99-A070-99F2B8CE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2124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30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z-Cyrl-UZ" w:eastAsia="en-US"/>
    </w:rPr>
  </w:style>
  <w:style w:type="table" w:styleId="a4">
    <w:name w:val="Table Grid"/>
    <w:basedOn w:val="a1"/>
    <w:uiPriority w:val="59"/>
    <w:rsid w:val="00990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Узбекистон Республикаси Наманган шахар "Кислород-Озон" ишлаб-чикариш корхонаси</vt:lpstr>
    </vt:vector>
  </TitlesOfParts>
  <Company>2</Company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Узбекистон Республикаси Наманган шахар "Кислород-Озон" ишлаб-чикариш корхонаси</dc:title>
  <dc:subject/>
  <dc:creator>1</dc:creator>
  <cp:keywords/>
  <dc:description/>
  <cp:lastModifiedBy>user</cp:lastModifiedBy>
  <cp:revision>2</cp:revision>
  <dcterms:created xsi:type="dcterms:W3CDTF">2024-02-13T05:09:00Z</dcterms:created>
  <dcterms:modified xsi:type="dcterms:W3CDTF">2024-02-13T05:09:00Z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Shartnoma tuzilgan sana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Shartnoma raqami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Shartnoma tuzilgan hudud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Ish bajaruvchi korxonaning nomi va shakli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Ish bajaruvchi korxona rahbarining F.I.O.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Buyurtmachi korxonaning nomi va shakli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Buyurtmachi korxona rahbarining F.I.O.</w:name>
    <w:value w:hidden="false">
      <w:unit w:active="false"/>
    </w:value>
  </w:element>
  <w:element w:id="15" w:kind="variable" w:selector="check" w:type="string" w:valueMode="normal" w:required="false" w:groupID="1">
    <w:identifier xml:space="preserve">ID15</w:identifier>
    <w:name xml:space="preserve">Moliya g‘azna bo‘limi hududi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Shartnoma mazmuni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Shartnoma umumiy qiymati</w:name>
    <w:value w:hidden="fals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Avvaldan to‘lanidigan avans foizi</w:name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Penya foizi</w:name>
    <w:value w:hidden="false">
      <w:unit w:active="false"/>
    </w:value>
  </w:element>
  <w:element w:id="20" w:kind="variable" w:selector="check" w:type="string" w:valueMode="normal" w:required="false" w:groupID="16">
    <w:identifier xml:space="preserve">ID20</w:identifier>
    <w:name xml:space="preserve">Majburiyatlarni bajarmaganlik uchun jarima miqdori</w:name>
    <w:value w:hidden="false">
      <w:unit w:active="false"/>
    </w:value>
  </w:element>
  <w:element w:id="21" w:kind="variable" w:selector="check" w:type="string" w:valueMode="normal" w:required="false" w:groupID="16">
    <w:identifier xml:space="preserve">ID21</w:identifier>
    <w:name xml:space="preserve">Penya maksimal foizi (miqdori, shartnoma summasidan)</w:name>
    <w:value w:hidden="false">
      <w:unit w:active="false"/>
    </w:value>
  </w:element>
  <w:element w:id="22" w:kind="variable" w:selector="check" w:type="string" w:valueMode="normal" w:required="false" w:groupID="16">
    <w:identifier xml:space="preserve">ID22</w:identifier>
    <w:name xml:space="preserve">Qo‘shimcha shartlar</w:name>
    <w:comment xml:space="preserve">(agar mavjud bo‘lsa ko‘rsatiladi)</w:comment>
    <w:value w:hidden="false">
      <w:unit w:active="false"/>
    </w:value>
  </w:element>
  <w:element w:id="23" w:kind="category" w:selector="check" w:type="string" w:valueMode="normal" w:required="false">
    <w:identifier xml:space="preserve">ID23</w:identifier>
    <w:name xml:space="preserve">Ish bajaruvchi haqida maʼlumotlar (rekvizitlar)</w:name>
    <w:value w:hidden="true">
      <w:unit w:active="false"/>
    </w:value>
  </w:element>
  <w:element w:id="24" w:kind="variable" w:selector="check" w:type="string" w:valueMode="normal" w:required="false" w:groupID="23">
    <w:identifier xml:space="preserve">ID24</w:identifier>
    <w:name xml:space="preserve">Ish bajaruvchining nomi va shakli</w:name>
    <w:value w:hidden="false">
      <w:unit w:active="false"/>
    </w:value>
  </w:element>
  <w:element w:id="25" w:kind="variable" w:selector="check" w:type="string" w:valueMode="normal" w:required="false" w:groupID="23">
    <w:identifier xml:space="preserve">ID25</w:identifier>
    <w:name xml:space="preserve">Ish bajaruvchining hisobraqami</w:name>
    <w:value w:hidden="false">
      <w:unit w:active="false"/>
    </w:value>
  </w:element>
  <w:element w:id="26" w:kind="variable" w:selector="check" w:type="string" w:valueMode="normal" w:required="false" w:groupID="23">
    <w:identifier xml:space="preserve">ID26</w:identifier>
    <w:name xml:space="preserve">Ish bajaruvchining bank nomi</w:name>
    <w:value w:hidden="false">
      <w:unit w:active="false"/>
    </w:value>
  </w:element>
  <w:element w:id="27" w:kind="variable" w:selector="check" w:type="string" w:valueMode="normal" w:required="false" w:groupID="23">
    <w:identifier xml:space="preserve">ID27</w:identifier>
    <w:name xml:space="preserve">Ish bajaruvchining bank MFO raqami</w:name>
    <w:value w:hidden="false">
      <w:unit w:active="false"/>
    </w:value>
  </w:element>
  <w:element w:id="28" w:kind="variable" w:selector="check" w:type="string" w:valueMode="normal" w:required="false" w:groupID="23">
    <w:identifier xml:space="preserve">ID28</w:identifier>
    <w:name xml:space="preserve">Ish bajaruvchining STIR raqami</w:name>
    <w:value w:hidden="false">
      <w:unit w:active="false"/>
    </w:value>
  </w:element>
  <w:element w:id="29" w:kind="variable" w:selector="check" w:type="string" w:valueMode="normal" w:required="false" w:groupID="23">
    <w:identifier xml:space="preserve">ID29</w:identifier>
    <w:name xml:space="preserve">Ish bajaruvchining OKONX raqami</w:name>
    <w:value w:hidden="false">
      <w:unit w:active="false"/>
    </w:value>
  </w:element>
  <w:element w:id="30" w:kind="variable" w:selector="check" w:type="string" w:valueMode="normal" w:required="false" w:groupID="23">
    <w:identifier xml:space="preserve">ID30</w:identifier>
    <w:name xml:space="preserve">Ish bajaruvchining yuridik manzili</w:name>
    <w:value w:hidden="false">
      <w:unit w:active="false"/>
    </w:value>
  </w:element>
  <w:element w:id="31" w:kind="variable" w:selector="check" w:type="string" w:valueMode="normal" w:required="false" w:groupID="23">
    <w:identifier xml:space="preserve">ID31</w:identifier>
    <w:name xml:space="preserve">Ish bajaruvchi rahbarining F.I.O.</w:name>
    <w:value w:hidden="false">
      <w:unit w:active="false"/>
    </w:value>
  </w:element>
  <w:element w:id="32" w:kind="category" w:selector="check" w:type="string" w:valueMode="normal" w:required="false">
    <w:identifier xml:space="preserve">ID32</w:identifier>
    <w:name xml:space="preserve">Buyurtmachi haqida maʼlumotlar (rekvizitlar)</w:name>
    <w:value w:hidden="true">
      <w:unit w:active="false"/>
    </w:value>
  </w:element>
  <w:element w:id="33" w:kind="variable" w:selector="check" w:type="string" w:valueMode="normal" w:required="false" w:groupID="32">
    <w:identifier xml:space="preserve">ID33</w:identifier>
    <w:name xml:space="preserve">Buyurtmachining nomi va shakli</w:name>
    <w:value w:hidden="false">
      <w:unit w:active="false"/>
    </w:value>
  </w:element>
  <w:element w:id="34" w:kind="variable" w:selector="check" w:type="string" w:valueMode="normal" w:required="false" w:groupID="32">
    <w:identifier xml:space="preserve">ID34</w:identifier>
    <w:name xml:space="preserve">Buyurtmachining hisobraqami</w:name>
    <w:value w:hidden="false">
      <w:unit w:active="false"/>
    </w:value>
  </w:element>
  <w:element w:id="35" w:kind="variable" w:selector="check" w:type="string" w:valueMode="normal" w:required="false" w:groupID="32">
    <w:identifier xml:space="preserve">ID35</w:identifier>
    <w:name xml:space="preserve">Buyurtmachining bank nomi</w:name>
    <w:value w:hidden="false">
      <w:unit w:active="false"/>
    </w:value>
  </w:element>
  <w:element w:id="36" w:kind="variable" w:selector="check" w:type="string" w:valueMode="normal" w:required="false" w:groupID="32">
    <w:identifier xml:space="preserve">ID36</w:identifier>
    <w:name xml:space="preserve">Buyurtmachining bank MFO raqami</w:name>
    <w:value w:hidden="false">
      <w:unit w:active="false"/>
    </w:value>
  </w:element>
  <w:element w:id="37" w:kind="variable" w:selector="check" w:type="string" w:valueMode="normal" w:required="false" w:groupID="32">
    <w:identifier xml:space="preserve">ID37</w:identifier>
    <w:name xml:space="preserve">Буюртмачининг СТИР рақами</w:name>
    <w:value w:hidden="false">
      <w:unit w:active="false"/>
    </w:value>
  </w:element>
  <w:element w:id="38" w:kind="variable" w:selector="check" w:type="string" w:valueMode="normal" w:required="false" w:groupID="32">
    <w:identifier xml:space="preserve">ID38</w:identifier>
    <w:name xml:space="preserve">Buyurtmachining OKONX raqami</w:name>
    <w:value w:hidden="false">
      <w:unit w:active="false"/>
    </w:value>
  </w:element>
  <w:element w:id="39" w:kind="variable" w:selector="check" w:type="string" w:valueMode="normal" w:required="false" w:groupID="32">
    <w:identifier xml:space="preserve">ID39</w:identifier>
    <w:name xml:space="preserve">Buyurtmachining yuridik manzili</w:name>
    <w:value w:hidden="false">
      <w:unit w:active="false"/>
    </w:value>
  </w:element>
  <w:element w:id="40" w:kind="variable" w:selector="check" w:type="string" w:valueMode="normal" w:required="false" w:groupID="32">
    <w:identifier xml:space="preserve">ID40</w:identifier>
    <w:name xml:space="preserve">Buyurtmachi rahbarining F.I.O.</w:name>
    <w:value w:hidden="false">
      <w:unit w:active="false"/>
    </w:value>
  </w:element>
  <w:element w:id="41" w:kind="variable" w:selector="check" w:type="string" w:valueMode="normal" w:required="false" w:groupID="32">
    <w:identifier xml:space="preserve">ID41</w:identifier>
    <w:name xml:space="preserve">Sharnomani ro‘yxatga oluvchi bo‘limning rekvizitlari</w:name>
    <w:value w:hidden="false">
      <w:unit w:active="false"/>
    </w:value>
  </w:element>
</w:structure>
</file>