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spacing w:line="288" w:lineRule="auto"/>
        <w:rPr>
          <w:b/>
        </w:rPr>
      </w:pPr>
      <w:r>
        <w:rPr>
          <w:b/>
        </w:rPr>
        <w:t xml:space="preserve">B U Y R U Q</w:t>
      </w:r>
    </w:p>
    <w:p>
      <w:pPr>
        <w:jc w:val="center"/>
        <w:ind w:firstLine="0"/>
        <w:spacing w:line="288" w:lineRule="auto"/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center"/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qabul qilingan sana</w:t>
              <w:fldChar w:fldCharType="end"/>
            </w:r>
          </w:p>
        </w:tc>
        <w:tc>
          <w:tcPr>
            <w:tcW w:w="3115" w:type="dxa"/>
          </w:tcPr>
          <w:p>
            <w:pPr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raqami</w:t>
              <w:fldChar w:fldCharType="end"/>
            </w:r>
          </w:p>
        </w:tc>
        <w:tc>
          <w:tcPr>
            <w:tcW w:w="3115" w:type="dxa"/>
          </w:tcPr>
          <w:p>
            <w:pPr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ind w:firstLine="0"/>
        <w:spacing w:line="288" w:lineRule="auto"/>
        <w:rPr>
          <w:b/>
        </w:rPr>
      </w:pPr>
    </w:p>
    <w:p>
      <w:pPr>
        <w:jc w:val="center"/>
        <w:ind w:firstLine="0"/>
        <w:spacing w:line="288" w:lineRule="auto"/>
        <w:rPr>
          <w:b/>
        </w:rPr>
      </w:pPr>
      <w:r>
        <w:rPr>
          <w:b/>
        </w:rPr>
        <w:t xml:space="preserve">Mehnat munosabatlarini davom ettirish haqida</w:t>
      </w:r>
    </w:p>
    <w:p>
      <w:pPr>
        <w:jc w:val="center"/>
        <w:ind w:firstLine="0"/>
        <w:spacing w:line="288" w:lineRule="auto"/>
        <w:rPr>
          <w:b/>
        </w:rPr>
      </w:pPr>
    </w:p>
    <w:p>
      <w:pPr>
        <w:ind w:firstLine="0"/>
        <w:spacing w:line="288" w:lineRule="auto"/>
        <w:rPr>
          <w:b/>
        </w:rPr>
      </w:pPr>
      <w:r>
        <w:rPr>
          <w:b/>
        </w:rPr>
        <w:tab/>
        <w:t xml:space="preserve">Oʻzbekiston Respublikasi Mehnat kodeksining 156-moddasi birinchi qismiga asoslanib, buyuraman:</w:t>
      </w:r>
    </w:p>
    <w:p>
      <w:pPr>
        <w:ind w:firstLine="0"/>
        <w:spacing w:line="288" w:lineRule="auto"/>
      </w:pPr>
    </w:p>
    <w:p>
      <w:pPr>
        <w:ind w:firstLine="0"/>
        <w:spacing w:line="288" w:lineRule="auto"/>
      </w:pPr>
      <w:r>
        <w:tab/>
        <w:t>1. 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Tashkilot nomi</w:t>
        <w:fldChar w:fldCharType="end"/>
      </w:r>
      <w:r>
        <w:t xml:space="preserve">ni qayta tashkil etish, yaʼni tashkilotning tashkiliy-huquqiy shaklini “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Tashkilotning hozirgi vaqtdagi tashkiliy-huquqiy shakli</w:t>
        <w:fldChar w:fldCharType="end"/>
      </w:r>
      <w:r>
        <w:t xml:space="preserve">”dan “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Tashkilotning yangi oʻzgarayotgan tashkili-huquqiy shakli</w:t>
        <w:fldChar w:fldCharType="end"/>
      </w:r>
      <w:r>
        <w:t xml:space="preserve">”ga oʻzgartirish haqidagi taʼsischining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Taʻsischining tashkilotning tashkiliy-huquqiy shaklini oʻzgartirish toʻgʻrisidagi qarori chiqarilgan sana</w:t>
        <w:fldChar w:fldCharType="end"/>
      </w:r>
      <w:r>
        <w:t xml:space="preserve">dagi qarori hamda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Tashkilot nomi</w:t>
        <w:fldChar w:fldCharType="end"/>
      </w:r>
      <w:r>
        <w:t xml:space="preserve">ining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Tashkilotning yangi ustavi qabul qilingan sana</w:t>
        <w:fldChar w:fldCharType="end"/>
      </w:r>
      <w:r>
        <w:t xml:space="preserve">dagi ustavi ijro uchun qabul qilinsin.</w:t>
      </w:r>
    </w:p>
    <w:p>
      <w:pPr>
        <w:ind w:firstLine="0"/>
        <w:spacing w:line="288" w:lineRule="auto"/>
      </w:pPr>
      <w:r>
        <w:tab/>
        <w:t xml:space="preserve">2. Ilovaga muvofiq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Tashkilot nomi</w:t>
        <w:fldChar w:fldCharType="end"/>
      </w:r>
      <w:r>
        <w:t xml:space="preserve">da faoliyat yuritib kelgan xodimlarning yakka tartibdagi mehnat munosabatlari ularning roziligi bilan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Tashkilotning yangi tashkiliy-huquqiy shaklda faoliyat yuritishi boshlanadigan sana</w:t>
        <w:fldChar w:fldCharType="end"/>
      </w:r>
      <w:r>
        <w:t xml:space="preserve">kunidan qayta tashkil etilgan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Tashkilotning yangi oʻzgarayotgan tashkili-huquqiy shakli</w:t>
        <w:fldChar w:fldCharType="end"/>
      </w:r>
      <w:r>
        <w:t xml:space="preserve">da davom ettirilsin.</w:t>
      </w:r>
    </w:p>
    <w:p>
      <w:pPr>
        <w:ind w:firstLine="0"/>
        <w:spacing w:line="288" w:lineRule="auto"/>
      </w:pPr>
      <w:r>
        <w:tab/>
        <w:t xml:space="preserve">3. HR boʻlimi ushbu buyruqni xodimlarga tilxat asosida tanishtirsin.</w:t>
      </w:r>
    </w:p>
    <w:p>
      <w:pPr>
        <w:ind w:firstLine="0"/>
        <w:spacing w:line="288" w:lineRule="auto"/>
      </w:pPr>
      <w:r>
        <w:tab/>
      </w:r>
    </w:p>
    <w:p>
      <w:pPr>
        <w:ind w:firstLine="0"/>
        <w:spacing w:line="288" w:lineRule="auto"/>
        <w:rPr>
          <w:sz w:val="26"/>
        </w:rPr>
      </w:pPr>
      <w:r>
        <w:tab/>
      </w:r>
      <w:r>
        <w:rPr>
          <w:b/>
          <w:sz w:val="26"/>
        </w:rPr>
        <w:t>Asos:</w:t>
      </w:r>
      <w:r>
        <w:rPr>
          <w:sz w:val="26"/>
        </w:rPr>
        <w:t xml:space="preserve"> Jamiyat taʼsischisining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Taʻsischining tashkilotning tashkiliy-huquqiy shaklini oʻzgartirish toʻgʻrisidagi qarori chiqarilgan sana</w:t>
        <w:fldChar w:fldCharType="end"/>
      </w:r>
      <w:r>
        <w:rPr>
          <w:sz w:val="26"/>
        </w:rPr>
        <w:t xml:space="preserve">dagi tashkilotni qayta tashkil etish haqidagi qarori va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Tashkilotning yangi oʻzgarayotgan tashkili-huquqiy shakli</w:t>
        <w:fldChar w:fldCharType="end"/>
      </w:r>
      <w:r>
        <w:rPr>
          <w:sz w:val="26"/>
        </w:rPr>
        <w:t xml:space="preserve">ining </w:t>
      </w:r>
      <w:r>
        <w:rPr>
          <w:vanish w:val="false"/>
          <w:sz w:val="26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6"/>
          <w:rFonts w:ascii="Times New Roman" w:hAnsi="Times New Roman"/>
        </w:rPr>
        <w:t xml:space="preserve">Tashkilotning yangi ustavi qabul qilingan sana</w:t>
        <w:fldChar w:fldCharType="end"/>
      </w:r>
      <w:r>
        <w:rPr>
          <w:sz w:val="26"/>
        </w:rPr>
        <w:t xml:space="preserve">dagi ustavi hamda xodimlarning roziligi (rozilik imzolari aks etgan jadval).</w:t>
      </w:r>
    </w:p>
    <w:p>
      <w:pPr>
        <w:ind w:firstLine="0"/>
        <w:spacing w:line="288" w:lineRule="auto"/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16"/>
        <w:gridCol w:w="2895"/>
        <w:gridCol w:w="3444"/>
      </w:tblGrid>
      <w:tr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color w:val="000000"/>
        </w:rPr>
      </w:pPr>
      <w:r>
        <w:rPr>
          <w:color w:val="000000"/>
        </w:rPr>
        <w:tab/>
        <w:tab/>
        <w:tab/>
        <w:tab/>
        <w:tab/>
        <w:t xml:space="preserve">     (imzo)</w:t>
      </w:r>
    </w:p>
    <w:p>
      <w:pPr>
        <w:ind w:firstLine="0"/>
        <w:spacing w:line="288" w:lineRule="auto"/>
        <w:rPr>
          <w:b/>
        </w:rPr>
      </w:pPr>
    </w:p>
    <w:p>
      <w:pPr>
        <w:jc w:val="center"/>
        <w:ind w:left="4962" w:firstLine="0"/>
        <w:spacing w:line="288" w:lineRule="auto"/>
        <w:rPr>
          <w:b/>
        </w:rPr>
      </w:pPr>
    </w:p>
    <w:p>
      <w:pPr>
        <w:jc w:val="center"/>
        <w:ind w:left="4962" w:firstLine="0"/>
        <w:spacing w:line="288" w:lineRule="auto"/>
        <w:rPr>
          <w:b/>
          <w:sz w:val="26"/>
        </w:rPr>
      </w:pPr>
      <w:r>
        <w:rPr>
          <w:b/>
        </w:rPr>
        <w:t xml:space="preserve">Tashkilot rahbaraining </w:t>
      </w:r>
      <w:r>
        <w:rPr>
          <w:b/>
          <w:sz w:val="26"/>
        </w:rPr>
        <w:t xml:space="preserve"> </w:t>
      </w:r>
      <w:r>
        <w:rPr>
          <w:b/>
          <w:vanish w:val="false"/>
          <w:sz w:val="26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b/>
          <w:vanish w:val="false"/>
          <w:sz w:val="26"/>
          <w:rFonts w:ascii="Times New Roman" w:hAnsi="Times New Roman"/>
        </w:rPr>
        <w:t xml:space="preserve">Buyruq qabul qilingan sana</w:t>
        <w:fldChar w:fldCharType="end"/>
      </w:r>
      <w:r>
        <w:rPr>
          <w:b/>
          <w:sz w:val="26"/>
        </w:rPr>
        <w:t xml:space="preserve">dagi </w:t>
      </w:r>
      <w:r>
        <w:rPr>
          <w:b/>
          <w:vanish w:val="false"/>
          <w:sz w:val="26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sz w:val="26"/>
          <w:rFonts w:ascii="Times New Roman" w:hAnsi="Times New Roman"/>
        </w:rPr>
        <w:t xml:space="preserve">Buyruq raqami</w:t>
        <w:fldChar w:fldCharType="end"/>
      </w:r>
      <w:r>
        <w:rPr>
          <w:b/>
          <w:sz w:val="26"/>
        </w:rPr>
        <w:t xml:space="preserve">-sonli buyrugʻiga ilova</w:t>
      </w:r>
    </w:p>
    <w:p>
      <w:pPr>
        <w:jc w:val="center"/>
        <w:ind w:left="4962" w:firstLine="0"/>
        <w:spacing w:line="288" w:lineRule="auto"/>
        <w:rPr>
          <w:b/>
          <w:sz w:val="26"/>
        </w:rPr>
      </w:pPr>
    </w:p>
    <w:p>
      <w:pPr>
        <w:jc w:val="center"/>
        <w:ind w:left="-142" w:firstLine="0"/>
        <w:spacing w:line="288" w:lineRule="auto"/>
        <w:rPr>
          <w:b/>
          <w:sz w:val="26"/>
        </w:rPr>
      </w:pPr>
      <w:r>
        <w:rPr>
          <w:b/>
          <w:sz w:val="26"/>
        </w:rPr>
        <w:t xml:space="preserve">Qayta tashkil etilgan </w:t>
      </w:r>
      <w:r>
        <w:rPr>
          <w:b/>
          <w:vanish w:val="false"/>
          <w:sz w:val="26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b/>
          <w:vanish w:val="false"/>
          <w:sz w:val="26"/>
          <w:rFonts w:ascii="Times New Roman" w:hAnsi="Times New Roman"/>
        </w:rPr>
        <w:t xml:space="preserve">Tashkilotning yangi oʻzgarayotgan tashkili-huquqiy shakli</w:t>
        <w:fldChar w:fldCharType="end"/>
      </w:r>
      <w:r>
        <w:rPr>
          <w:b/>
          <w:sz w:val="26"/>
        </w:rPr>
        <w:t xml:space="preserve">da mehnat munosabatlarini davom ettirishga rozilik bergan xodimlar</w:t>
      </w:r>
    </w:p>
    <w:p>
      <w:pPr>
        <w:jc w:val="center"/>
        <w:ind w:left="-142" w:firstLine="0"/>
        <w:spacing w:line="288" w:lineRule="auto"/>
        <w:rPr>
          <w:b/>
          <w:sz w:val="26"/>
        </w:rPr>
      </w:pPr>
      <w:r>
        <w:rPr>
          <w:b/>
          <w:sz w:val="26"/>
        </w:rPr>
        <w:t>ROʻYXATI</w:t>
      </w:r>
    </w:p>
    <w:p>
      <w:pPr>
        <w:jc w:val="center"/>
        <w:ind w:left="-142" w:firstLine="0"/>
        <w:spacing w:line="288" w:lineRule="auto"/>
        <w:rPr>
          <w:sz w:val="26"/>
        </w:rPr>
      </w:pPr>
    </w:p>
    <w:tbl>
      <w:tblPr>
        <w:tblStyle w:val="a3"/>
        <w:tblW w:w="10490" w:type="dxa"/>
        <w:tblInd w:w="-714" w:type="dxa"/>
      </w:tblPr>
      <w:tblGrid>
        <w:gridCol w:w="567"/>
        <w:gridCol w:w="3403"/>
        <w:gridCol w:w="3610"/>
        <w:gridCol w:w="2910"/>
      </w:tblGrid>
      <w:tr>
        <w:tc>
          <w:tcPr>
            <w:tcW w:w="567" w:type="dxa"/>
          </w:tcPr>
          <w:p>
            <w:pPr>
              <w:jc w:val="center"/>
              <w:ind w:firstLine="0"/>
              <w:spacing w:line="288" w:lineRule="auto"/>
              <w:rPr>
                <w:b/>
                <w:sz w:val="26"/>
              </w:rPr>
            </w:pPr>
            <w:r>
              <w:rPr>
                <w:b/>
                <w:sz w:val="26"/>
              </w:rPr>
              <w:t>№</w:t>
            </w:r>
          </w:p>
        </w:tc>
        <w:tc>
          <w:tcPr>
            <w:tcW w:w="3403" w:type="dxa"/>
          </w:tcPr>
          <w:p>
            <w:pPr>
              <w:jc w:val="center"/>
              <w:ind w:firstLine="0"/>
              <w:spacing w:line="288" w:lineRule="auto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Xodimning lavozimi</w:t>
            </w:r>
          </w:p>
        </w:tc>
        <w:tc>
          <w:tcPr>
            <w:tcW w:w="3610" w:type="dxa"/>
          </w:tcPr>
          <w:p>
            <w:pPr>
              <w:jc w:val="center"/>
              <w:ind w:firstLine="0"/>
              <w:spacing w:line="288" w:lineRule="auto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Xodimning FISHsi</w:t>
            </w:r>
          </w:p>
        </w:tc>
        <w:tc>
          <w:tcPr>
            <w:tcW w:w="2910" w:type="dxa"/>
          </w:tcPr>
          <w:p>
            <w:pPr>
              <w:jc w:val="center"/>
              <w:ind w:firstLine="0"/>
              <w:spacing w:line="288" w:lineRule="auto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Xodimning roziligini tasdiqlovchi imzosi</w:t>
            </w:r>
          </w:p>
        </w:tc>
      </w:tr>
      <w:tr>
        <w:tc>
          <w:tcPr>
            <w:tcW w:w="567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3403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</w:p>
        </w:tc>
        <w:tc>
          <w:tcPr>
            <w:tcW w:w="3610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</w:p>
        </w:tc>
        <w:tc>
          <w:tcPr>
            <w:tcW w:w="2910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</w:p>
        </w:tc>
      </w:tr>
      <w:tr>
        <w:tc>
          <w:tcPr>
            <w:tcW w:w="567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3403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</w:p>
        </w:tc>
        <w:tc>
          <w:tcPr>
            <w:tcW w:w="3610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</w:p>
        </w:tc>
        <w:tc>
          <w:tcPr>
            <w:tcW w:w="2910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</w:p>
        </w:tc>
      </w:tr>
      <w:tr>
        <w:tc>
          <w:tcPr>
            <w:tcW w:w="567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3403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</w:p>
        </w:tc>
        <w:tc>
          <w:tcPr>
            <w:tcW w:w="3610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</w:p>
        </w:tc>
        <w:tc>
          <w:tcPr>
            <w:tcW w:w="2910" w:type="dxa"/>
          </w:tcPr>
          <w:p>
            <w:pPr>
              <w:jc w:val="center"/>
              <w:ind w:firstLine="0"/>
              <w:spacing w:line="288" w:lineRule="auto"/>
              <w:rPr>
                <w:sz w:val="26"/>
              </w:rPr>
            </w:pPr>
          </w:p>
        </w:tc>
      </w:tr>
    </w:tbl>
    <w:p>
      <w:pPr>
        <w:jc w:val="center"/>
        <w:ind w:left="-142" w:firstLine="0"/>
        <w:spacing w:line="288" w:lineRule="auto"/>
      </w:pPr>
    </w:p>
    <w:p>
      <w:pPr>
        <w:ind w:firstLine="0"/>
        <w:spacing w:line="288" w:lineRule="auto"/>
        <w:rPr>
          <w:b/>
        </w:rPr>
      </w:pPr>
    </w:p>
    <w:p>
      <w:pPr>
        <w:rPr>
          <w:b/>
        </w:rPr>
      </w:pPr>
      <w:r>
        <w:rPr>
          <w:b/>
        </w:rPr>
      </w:r>
    </w:p>
    <w:p/>
    <w:sectPr>
      <w:type w:val="continuous"/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30B"/>
    <w:rsid w:val="000B30D9"/>
    <w:rsid w:val="00752E69"/>
    <w:rsid w:val="00CC530B"/>
    <w:rsid w:val="00DB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DC992-9914-4401-8A03-1F4D4A374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915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2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</cp:revision>
  <dcterms:created xsi:type="dcterms:W3CDTF">2025-04-25T04:32:00Z</dcterms:created>
  <dcterms:modified xsi:type="dcterms:W3CDTF">2025-04-25T04:32:00Z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Buyruq mazmuni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Tashkilot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Tashkilotning hozirgi vaqtdagi tashkiliy-huquqiy shakli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Tashkilotning yangi oʻzgarayotgan tashkili-huquqiy shakli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Taʻsischining tashkilotning tashkiliy-huquqiy shaklini oʻzgartirish toʻgʻrisidagi qarori chiqarilgan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Tashkilotning yangi ustavi qabul qilingan sana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Tashkilotning yangi tashkiliy-huquqiy shaklda faoliyat yuritishi boshlanadigan sana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lavozimi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Buyruq chiqargan shaxsning F.I.O.si</w:name>
    <w:value w:hidden="false">
      <w:unit w:active="false"/>
    </w:value>
  </w:element>
</w:structure>
</file>