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 Id="rId5" Type="http://yurxizmat.uz/officeDocument/2006/relationships/document-dataSources" Target="legal/dataSources.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ind w:left="5103"/>
        <w:spacing w:after="0"/>
        <w:rPr>
          <w:b/>
          <w:sz w:val="26"/>
          <w:rFonts w:ascii="Times New Roman" w:hAnsi="Times New Roman"/>
        </w:rPr>
      </w:pPr>
      <w:r>
        <w:rPr>
          <w:b/>
          <w:sz w:val="26"/>
          <w:rFonts w:ascii="Times New Roman" w:hAnsi="Times New Roman"/>
        </w:rPr>
        <w:t xml:space="preserve">Fuqarolik ishlari boʻyicha </w:t>
      </w:r>
      <w:r>
        <w:rPr>
          <w:b/>
          <w:vanish w:val="false"/>
          <w:sz w:val="26"/>
          <w:rFonts w:ascii="Times New Roman" w:hAnsi="Times New Roman"/>
        </w:rPr>
        <w:fldChar w:fldCharType="begin"/>
        <w:instrText xml:space="preserve">X {"Y":2}</w:instrText>
        <w:fldChar w:fldCharType="separate"/>
      </w:r>
      <w:r>
        <w:rPr>
          <w:b/>
          <w:vanish w:val="false"/>
          <w:sz w:val="26"/>
          <w:rFonts w:ascii="Times New Roman" w:hAnsi="Times New Roman"/>
        </w:rPr>
        <w:t xml:space="preserve">Fuqarolik ishlari bo‘yicha sudning nomi</w:t>
        <w:fldChar w:fldCharType="end"/>
      </w:r>
      <w:r>
        <w:rPr>
          <w:b/>
          <w:sz w:val="26"/>
          <w:rFonts w:ascii="Times New Roman" w:hAnsi="Times New Roman"/>
        </w:rPr>
        <w:t xml:space="preserve">ga </w:t>
      </w:r>
    </w:p>
    <w:p>
      <w:pPr>
        <w:jc w:val="center"/>
        <w:ind w:left="5103"/>
        <w:spacing w:after="0"/>
        <w:rPr>
          <w:sz w:val="26"/>
          <w:rFonts w:ascii="Times New Roman" w:hAnsi="Times New Roman"/>
        </w:rPr>
      </w:pPr>
    </w:p>
    <w:p>
      <w:pPr>
        <w:jc w:val="center"/>
        <w:ind w:left="5103"/>
        <w:spacing w:after="0"/>
        <w:rPr>
          <w:b/>
          <w:sz w:val="26"/>
          <w:rFonts w:ascii="Times New Roman" w:hAnsi="Times New Roman"/>
        </w:rPr>
      </w:pPr>
      <w:r>
        <w:rPr>
          <w:b/>
          <w:sz w:val="26"/>
          <w:rFonts w:ascii="Times New Roman" w:hAnsi="Times New Roman"/>
        </w:rPr>
        <w:t xml:space="preserve">Daʼvogar </w:t>
      </w:r>
      <w:r>
        <w:rPr>
          <w:b/>
          <w:vanish w:val="false"/>
          <w:sz w:val="26"/>
          <w:rFonts w:ascii="Times New Roman" w:hAnsi="Times New Roman"/>
        </w:rPr>
        <w:fldChar w:fldCharType="begin"/>
        <w:instrText xml:space="preserve">X {"Y":3}</w:instrText>
        <w:fldChar w:fldCharType="separate"/>
      </w:r>
      <w:r>
        <w:rPr>
          <w:b/>
          <w:vanish w:val="false"/>
          <w:sz w:val="26"/>
          <w:rFonts w:ascii="Times New Roman" w:hAnsi="Times New Roman"/>
        </w:rPr>
        <w:t xml:space="preserve">Da’vogarning F.I.Osi</w:t>
        <w:fldChar w:fldCharType="end"/>
      </w:r>
      <w:r>
        <w:rPr>
          <w:b/>
          <w:sz w:val="26"/>
          <w:rFonts w:ascii="Times New Roman" w:hAnsi="Times New Roman"/>
        </w:rPr>
        <w:t>dan</w:t>
      </w:r>
    </w:p>
    <w:p>
      <w:pPr>
        <w:jc w:val="center"/>
        <w:ind w:left="5103"/>
        <w:spacing w:after="0"/>
        <w:rPr>
          <w:sz w:val="26"/>
          <w:rFonts w:ascii="Times New Roman" w:hAnsi="Times New Roman"/>
        </w:rPr>
      </w:pPr>
      <w:r>
        <w:rPr>
          <w:sz w:val="26"/>
          <w:rFonts w:ascii="Times New Roman" w:hAnsi="Times New Roman"/>
        </w:rPr>
        <w:t xml:space="preserve">Manzil: </w:t>
      </w:r>
      <w:r>
        <w:rPr>
          <w:vanish w:val="false"/>
          <w:sz w:val="26"/>
          <w:rFonts w:ascii="Times New Roman" w:hAnsi="Times New Roman"/>
        </w:rPr>
        <w:fldChar w:fldCharType="begin"/>
        <w:instrText xml:space="preserve">X {"Y":4}</w:instrText>
        <w:fldChar w:fldCharType="separate"/>
      </w:r>
      <w:r>
        <w:rPr>
          <w:vanish w:val="false"/>
          <w:sz w:val="26"/>
          <w:rFonts w:ascii="Times New Roman" w:hAnsi="Times New Roman"/>
        </w:rPr>
        <w:t xml:space="preserve">Da’vogarning manzili</w:t>
        <w:fldChar w:fldCharType="end"/>
      </w:r>
    </w:p>
    <w:p>
      <w:pPr>
        <w:jc w:val="center"/>
        <w:ind w:left="5103"/>
        <w:spacing w:after="0"/>
        <w:rPr>
          <w:b/>
          <w:sz w:val="26"/>
          <w:rFonts w:ascii="Times New Roman" w:hAnsi="Times New Roman"/>
        </w:rPr>
      </w:pPr>
      <w:r>
        <w:rPr>
          <w:sz w:val="26"/>
          <w:rFonts w:ascii="Times New Roman" w:hAnsi="Times New Roman"/>
        </w:rPr>
        <w:t xml:space="preserve"> </w:t>
      </w:r>
    </w:p>
    <w:p>
      <w:pPr>
        <w:jc w:val="center"/>
        <w:ind w:left="5103"/>
        <w:spacing w:after="0"/>
        <w:rPr>
          <w:i/>
          <w:sz w:val="26"/>
          <w:rFonts w:ascii="Times New Roman" w:hAnsi="Times New Roman"/>
        </w:rPr>
      </w:pPr>
      <w:r>
        <w:rPr>
          <w:i/>
          <w:vanish w:val="false"/>
          <w:sz w:val="26"/>
          <w:rFonts w:ascii="Times New Roman" w:hAnsi="Times New Roman"/>
        </w:rPr>
        <w:fldChar w:fldCharType="begin"/>
        <w:instrText xml:space="preserve">X {"Y":5}</w:instrText>
        <w:fldChar w:fldCharType="separate"/>
      </w:r>
      <w:r>
        <w:rPr>
          <w:i/>
          <w:vanish w:val="false"/>
          <w:sz w:val="26"/>
          <w:rFonts w:ascii="Times New Roman" w:hAnsi="Times New Roman"/>
        </w:rPr>
        <w:t xml:space="preserve">Hal qiluv qarori raqami</w:t>
        <w:fldChar w:fldCharType="end"/>
      </w:r>
      <w:r>
        <w:rPr>
          <w:i/>
          <w:sz w:val="26"/>
          <w:rFonts w:ascii="Times New Roman" w:hAnsi="Times New Roman"/>
        </w:rPr>
        <w:t xml:space="preserve">-sonli ish yuzasidan</w:t>
      </w:r>
    </w:p>
    <w:p>
      <w:pPr>
        <w:jc w:val="center"/>
        <w:spacing w:after="0"/>
        <w:rPr>
          <w:b/>
          <w:sz w:val="26"/>
          <w:rFonts w:ascii="Times New Roman" w:hAnsi="Times New Roman"/>
        </w:rPr>
      </w:pPr>
      <w:r>
        <w:rPr>
          <w:b/>
          <w:sz w:val="26"/>
          <w:rFonts w:ascii="Times New Roman" w:hAnsi="Times New Roman"/>
        </w:rPr>
        <w:t>ARIZA</w:t>
      </w:r>
    </w:p>
    <w:p>
      <w:pPr>
        <w:jc w:val="center"/>
        <w:spacing w:after="0"/>
        <w:rPr>
          <w:sz w:val="26"/>
          <w:rFonts w:ascii="Times New Roman" w:hAnsi="Times New Roman"/>
        </w:rPr>
      </w:pPr>
      <w:r>
        <w:rPr>
          <w:sz w:val="26"/>
          <w:rFonts w:ascii="Times New Roman" w:hAnsi="Times New Roman"/>
        </w:rPr>
        <w:t xml:space="preserve">(Mehnat shartnomasini bekor qilish asosi va </w:t>
      </w:r>
    </w:p>
    <w:p>
      <w:pPr>
        <w:jc w:val="center"/>
        <w:spacing w:after="0"/>
        <w:rPr>
          <w:sz w:val="26"/>
          <w:rFonts w:ascii="Times New Roman" w:hAnsi="Times New Roman"/>
        </w:rPr>
      </w:pPr>
      <w:r>
        <w:rPr>
          <w:sz w:val="26"/>
          <w:rFonts w:ascii="Times New Roman" w:hAnsi="Times New Roman"/>
        </w:rPr>
        <w:t xml:space="preserve">taʼrifini oʻzgartirish haqida)</w:t>
      </w:r>
    </w:p>
    <w:p>
      <w:pPr>
        <w:jc w:val="center"/>
        <w:spacing w:after="0"/>
        <w:rPr>
          <w:sz w:val="26"/>
          <w:rFonts w:ascii="Times New Roman" w:hAnsi="Times New Roman"/>
        </w:rPr>
      </w:pPr>
    </w:p>
    <w:p>
      <w:pPr>
        <w:jc w:val="both"/>
        <w:spacing w:after="0"/>
        <w:rPr>
          <w:sz w:val="26"/>
          <w:rFonts w:ascii="Times New Roman" w:hAnsi="Times New Roman"/>
        </w:rPr>
      </w:pPr>
      <w:r>
        <w:rPr>
          <w:sz w:val="26"/>
          <w:rFonts w:ascii="Times New Roman" w:hAnsi="Times New Roman"/>
        </w:rPr>
        <w:tab/>
        <w:t xml:space="preserve">Daʼvogar </w:t>
      </w:r>
      <w:r>
        <w:rPr>
          <w:vanish w:val="false"/>
          <w:sz w:val="26"/>
          <w:rFonts w:ascii="Times New Roman" w:hAnsi="Times New Roman"/>
        </w:rPr>
        <w:fldChar w:fldCharType="begin"/>
        <w:instrText xml:space="preserve">X {"Y":3}</w:instrText>
        <w:fldChar w:fldCharType="separate"/>
      </w:r>
      <w:r>
        <w:rPr>
          <w:vanish w:val="false"/>
          <w:sz w:val="26"/>
          <w:rFonts w:ascii="Times New Roman" w:hAnsi="Times New Roman"/>
        </w:rPr>
        <w:t xml:space="preserve">Da’vogarning F.I.Osi</w:t>
        <w:fldChar w:fldCharType="end"/>
      </w:r>
      <w:r>
        <w:rPr>
          <w:sz w:val="26"/>
          <w:rFonts w:ascii="Times New Roman" w:hAnsi="Times New Roman"/>
        </w:rPr>
        <w:t xml:space="preserve"> oʻz daʼvo arizasida javobgarning </w:t>
      </w:r>
      <w:r>
        <w:rPr>
          <w:vanish w:val="false"/>
          <w:sz w:val="26"/>
          <w:rFonts w:ascii="Times New Roman" w:hAnsi="Times New Roman"/>
        </w:rPr>
        <w:fldChar w:fldCharType="begin"/>
        <w:instrText xml:space="preserve">X {"Y":8}</w:instrText>
        <w:fldChar w:fldCharType="separate"/>
      </w:r>
      <w:r>
        <w:rPr>
          <w:vanish w:val="false"/>
          <w:sz w:val="26"/>
          <w:rFonts w:ascii="Times New Roman" w:hAnsi="Times New Roman"/>
        </w:rPr>
        <w:t xml:space="preserve">Javobgar tomonidan Da’vogarni ishdan bo‘shatish to‘g‘risidagi buyrug‘i sanasi</w:t>
        <w:fldChar w:fldCharType="end"/>
      </w:r>
      <w:r>
        <w:rPr>
          <w:sz w:val="26"/>
          <w:rFonts w:ascii="Times New Roman" w:hAnsi="Times New Roman"/>
        </w:rPr>
        <w:t xml:space="preserve"> dagi buyrugʻini bekor qilishni, uni avvalgi lavozimiga tiklashni hamda moddiy va maʼnaviy zarar summalarini undirib berishni soʻragan.</w:t>
      </w:r>
    </w:p>
    <w:p>
      <w:pPr>
        <w:jc w:val="both"/>
        <w:spacing w:after="0"/>
        <w:rPr>
          <w:sz w:val="26"/>
          <w:rFonts w:ascii="Times New Roman" w:hAnsi="Times New Roman"/>
        </w:rPr>
      </w:pPr>
      <w:r>
        <w:rPr>
          <w:sz w:val="26"/>
          <w:rFonts w:ascii="Times New Roman" w:hAnsi="Times New Roman"/>
        </w:rPr>
        <w:tab/>
        <w:t xml:space="preserve">Javobgarning mehnat shartnomasini bekor qilish haqidagi buyrugʻida xodim bilan tuzilgan mehnat shartnomasini ish beruvchi tashabbusiga koʻra – Oʻzbekiston Respublikasi Mehnat kodeksining 161-moddasi ikkinchi qismi 4-bandiga asosan, mehnat majburiyatlarini muntazam ravishda buzganligi munosabati bilan bekor qilinganligi koʻrsatilgan.</w:t>
      </w:r>
    </w:p>
    <w:p>
      <w:pPr>
        <w:jc w:val="both"/>
        <w:ind w:firstLine="708"/>
        <w:spacing w:after="0"/>
        <w:rPr>
          <w:sz w:val="26"/>
          <w:rFonts w:ascii="Times New Roman" w:hAnsi="Times New Roman"/>
        </w:rPr>
      </w:pPr>
      <w:r>
        <w:rPr>
          <w:sz w:val="26"/>
          <w:rFonts w:ascii="Times New Roman" w:hAnsi="Times New Roman"/>
        </w:rPr>
        <w:t xml:space="preserve">Sud jarayonida bu buyruqdan oldingi, yaʼni </w:t>
      </w:r>
      <w:r>
        <w:rPr>
          <w:vanish w:val="false"/>
          <w:sz w:val="26"/>
          <w:rFonts w:ascii="Times New Roman" w:hAnsi="Times New Roman"/>
        </w:rPr>
        <w:fldChar w:fldCharType="begin"/>
        <w:instrText xml:space="preserve">X {"Y":9}</w:instrText>
        <w:fldChar w:fldCharType="separate"/>
      </w:r>
      <w:r>
        <w:rPr>
          <w:vanish w:val="false"/>
          <w:sz w:val="26"/>
          <w:rFonts w:ascii="Times New Roman" w:hAnsi="Times New Roman"/>
        </w:rPr>
        <w:t xml:space="preserve">Javobgar tomonidan Da’vogarga hayfsan qo‘llanilgan sana</w:t>
        <w:fldChar w:fldCharType="end"/>
      </w:r>
      <w:r>
        <w:rPr>
          <w:sz w:val="26"/>
          <w:rFonts w:ascii="Times New Roman" w:hAnsi="Times New Roman"/>
        </w:rPr>
        <w:t xml:space="preserve">dagi buyruq bilan daʼvogarga hayfsan intizomiy jazo chorasini qoʻllash belgilangan boʻlib, biroq, ushbu buyruqqa ish beruvchi emas, balki direktor oʻrinbosari imzo qoʻyganligi maʼlum boʻldi. Bizningcha, agar ushbu hayfsan qoʻllash haqidagi buyruq ish beruvchi tomonidan imzolanmagan boʻlsa, sud bu buyruqni qonunga xilof deb topishi va majburiyatlarni muntazam ravishda buzish fakti boʻlmaganligini hisobga olib, xodimni ishga tiklash haqida qaror chiqarishi mumkin. </w:t>
      </w:r>
    </w:p>
    <w:p>
      <w:pPr>
        <w:jc w:val="both"/>
        <w:ind w:firstLine="708"/>
        <w:spacing w:after="0"/>
        <w:rPr>
          <w:sz w:val="26"/>
          <w:rFonts w:ascii="Times New Roman" w:hAnsi="Times New Roman"/>
        </w:rPr>
      </w:pPr>
      <w:r>
        <w:rPr>
          <w:sz w:val="26"/>
          <w:rFonts w:ascii="Times New Roman" w:hAnsi="Times New Roman"/>
        </w:rPr>
        <w:t xml:space="preserve">Bizningcha, xodim bilan tuzilgan mehnat shartnomasini bekor qilish haqidagi buyruqda mehnat shartnomasini bekor qilish asosi va taʼrifi “Oʻzbekiston Respublikasi Mehnat kodeksining 161-moddasi ikkinchi qismi 4-bandiga asosan, mehnat majburiyatlarini muntazam ravishda buzganligi munosabati bilan” deb xato yozilgan boʻlib chiqmoqda.</w:t>
      </w:r>
    </w:p>
    <w:p>
      <w:pPr>
        <w:jc w:val="both"/>
        <w:spacing w:after="0"/>
        <w:rPr>
          <w:sz w:val="26"/>
          <w:rFonts w:ascii="Times New Roman" w:hAnsi="Times New Roman"/>
        </w:rPr>
      </w:pPr>
      <w:r>
        <w:rPr>
          <w:sz w:val="26"/>
          <w:rFonts w:ascii="Times New Roman" w:hAnsi="Times New Roman"/>
        </w:rPr>
        <w:tab/>
      </w:r>
      <w:r>
        <w:rPr>
          <w:b/>
          <w:sz w:val="26"/>
          <w:rFonts w:ascii="Times New Roman" w:hAnsi="Times New Roman"/>
        </w:rPr>
        <w:t xml:space="preserve">Biroq, Mehnat kodeksining 568-moddasiga asosan</w:t>
      </w:r>
      <w:r>
        <w:rPr>
          <w:sz w:val="26"/>
          <w:rFonts w:ascii="Times New Roman" w:hAnsi="Times New Roman"/>
        </w:rPr>
        <w:t xml:space="preserve"> </w:t>
      </w:r>
      <w:r>
        <w:rPr>
          <w:i/>
          <w:sz w:val="26"/>
          <w:rFonts w:ascii="Times New Roman" w:hAnsi="Times New Roman"/>
        </w:rPr>
        <w:t xml:space="preserve">mehnat shartnomasini bekor qilish asoslarining taʼrifi notoʻgʻri deb yoki qonunchilikka muvofiq emas deb topilgan taqdirda, sud ushbu taʼrifni oʻzgartiradi va qarorda mehnat shartnomasini bekor qilish asosini qonunchilikka qat’iy muvofiq ravishda qonunning tegishli moddasiga (qismiga, bandiga, xatboshiga) havola qilgan holda koʻrsatadi</w:t>
      </w:r>
      <w:r>
        <w:rPr>
          <w:sz w:val="26"/>
          <w:rFonts w:ascii="Times New Roman" w:hAnsi="Times New Roman"/>
        </w:rPr>
        <w:t xml:space="preserve">. </w:t>
      </w:r>
      <w:r>
        <w:rPr>
          <w:b/>
          <w:sz w:val="26"/>
          <w:rFonts w:ascii="Times New Roman" w:hAnsi="Times New Roman"/>
        </w:rPr>
        <w:t xml:space="preserve">Shuningdek, Oliy sud Plenumining 2023-yil 20-noyabrdagi “Sudlar tomonidan mehnat shartnomasini bekor qilishni tartibga soluvchi qonunchilikni qoʻllash amaliyoti toʻgʻrisida”gi 26-sonli qarori 65-bandida</w:t>
      </w:r>
      <w:r>
        <w:rPr>
          <w:sz w:val="26"/>
          <w:rFonts w:ascii="Times New Roman" w:hAnsi="Times New Roman"/>
        </w:rPr>
        <w:t xml:space="preserve"> </w:t>
      </w:r>
      <w:r>
        <w:rPr>
          <w:i/>
          <w:sz w:val="26"/>
          <w:rFonts w:ascii="Times New Roman" w:hAnsi="Times New Roman"/>
        </w:rPr>
        <w:t xml:space="preserve">agar sud ishga tiklash haqidagi nizoni hal qilishda ish beruvchining mehnat munosabatlarini bekor qilishga asosi boʻlgan deb topsa, ammo mehnat shartnomasini bekor qilish taʼrifi notoʻgʻri yoki amaldagi qonunga mos boʻlmasa, sud taʼrifni oʻzgartiradi va hal qiluv qarorida mehnat shartnomasini bekor qilish sababini qonunga aniq mos holda, qonunning tegishli moddasi (bandi)ga tayangan holda koʻrsatadi</w:t>
      </w:r>
      <w:r>
        <w:rPr>
          <w:sz w:val="26"/>
          <w:rFonts w:ascii="Times New Roman" w:hAnsi="Times New Roman"/>
        </w:rPr>
        <w:t xml:space="preserve"> deyilgan.</w:t>
      </w:r>
    </w:p>
    <w:p>
      <w:pPr>
        <w:jc w:val="both"/>
        <w:ind w:firstLine="708"/>
        <w:spacing w:after="0"/>
        <w:rPr>
          <w:sz w:val="26"/>
          <w:rFonts w:ascii="Times New Roman" w:hAnsi="Times New Roman"/>
        </w:rPr>
      </w:pPr>
      <w:r>
        <w:rPr>
          <w:sz w:val="26"/>
          <w:rFonts w:ascii="Times New Roman" w:hAnsi="Times New Roman"/>
        </w:rPr>
        <w:t xml:space="preserve">Xodimning yuqoridagi intizomiy qilmishi bir vaqtning oʻzida u bilan tuzilgan mehnat shartnomasini Mehnat kodeksining 161-moddasi ikkinchi qismi </w:t>
        <w:br/>
        <w:t xml:space="preserve">5-bandiga asosan, mehnat majburiyatlarini bir marta qoʻpol ravishda buzganligi munosabati bilan bekor qilishga ham asos boʻla oladi. Mazkur Ichki mehnat tartibi qoidalari avvaldan xodimga tanishtirilgan, ushbu intizomiy qilmish yuzasidan barcha hujjatlar toʻliq rasmiylashtirilgan hamda kasaba uyushmasi qoʻmitasi roziligi ham olingan.</w:t>
      </w:r>
    </w:p>
    <w:p>
      <w:pPr>
        <w:jc w:val="both"/>
        <w:ind w:firstLine="708"/>
        <w:spacing w:after="0"/>
        <w:rPr>
          <w:sz w:val="26"/>
          <w:rFonts w:ascii="Times New Roman" w:hAnsi="Times New Roman"/>
        </w:rPr>
      </w:pPr>
      <w:r>
        <w:rPr>
          <w:sz w:val="26"/>
          <w:rFonts w:ascii="Times New Roman" w:hAnsi="Times New Roman"/>
        </w:rPr>
        <w:t xml:space="preserve">Yuqoridagilarga asoslanib, </w:t>
      </w:r>
      <w:r>
        <w:rPr>
          <w:vanish w:val="false"/>
          <w:sz w:val="26"/>
          <w:rFonts w:ascii="Times New Roman" w:hAnsi="Times New Roman"/>
        </w:rPr>
        <w:fldChar w:fldCharType="begin"/>
        <w:instrText xml:space="preserve">X {"Y":8}</w:instrText>
        <w:fldChar w:fldCharType="separate"/>
      </w:r>
      <w:r>
        <w:rPr>
          <w:vanish w:val="false"/>
          <w:sz w:val="26"/>
          <w:rFonts w:ascii="Times New Roman" w:hAnsi="Times New Roman"/>
        </w:rPr>
        <w:t xml:space="preserve">Javobgar tomonidan Da’vogarni ishdan bo‘shatish to‘g‘risidagi buyrug‘i sanasi</w:t>
        <w:fldChar w:fldCharType="end"/>
      </w:r>
      <w:r>
        <w:rPr>
          <w:sz w:val="26"/>
          <w:rFonts w:ascii="Times New Roman" w:hAnsi="Times New Roman"/>
        </w:rPr>
        <w:t xml:space="preserve">dagi “mehnat shartnomasini bekor qilish haqida”gi buyruqning mehnat shartnomasini bekor qilish asosi va taʼrifini “Oʻzbekiston Respublikasi Mehnat kodeksining 161-moddasi ikkinchi qismi 5-bandiga asosan, mehnat majburiyatlarini bir marta qoʻpol ravishda buzganligi munosabati bilan”ga oʻzgartirishni va shu orqali buyruqning qonunga muvofiqlashtirilishini eʼtiborga olib, xodimning daʼvo talablarini toʻliq rad qilinishini soʻrayman.</w:t>
      </w:r>
    </w:p>
    <w:p>
      <w:pPr>
        <w:jc w:val="both"/>
        <w:ind w:firstLine="708"/>
        <w:spacing w:after="0"/>
        <w:rPr>
          <w:sz w:val="26"/>
          <w:rFonts w:ascii="Times New Roman" w:hAnsi="Times New Roman"/>
        </w:rPr>
      </w:pPr>
    </w:p>
    <w:p>
      <w:pPr>
        <w:jc w:val="both"/>
        <w:ind w:left="-284" w:firstLine="1134"/>
        <w:spacing w:after="0"/>
        <w:rPr>
          <w:b/>
          <w:sz w:val="26"/>
          <w:rFonts w:ascii="Times New Roman" w:hAnsi="Times New Roman"/>
        </w:rPr>
      </w:pPr>
      <w:r>
        <w:rPr>
          <w:b/>
          <w:vanish w:val="false"/>
          <w:sz w:val="26"/>
          <w:rFonts w:ascii="Times New Roman" w:hAnsi="Times New Roman"/>
        </w:rPr>
        <w:fldChar w:fldCharType="begin"/>
        <w:instrText xml:space="preserve">X {"Y":3}</w:instrText>
        <w:fldChar w:fldCharType="separate"/>
      </w:r>
      <w:r>
        <w:rPr>
          <w:b/>
          <w:vanish w:val="false"/>
          <w:sz w:val="26"/>
          <w:rFonts w:ascii="Times New Roman" w:hAnsi="Times New Roman"/>
        </w:rPr>
        <w:t xml:space="preserve">Da’vogarning F.I.Osi</w:t>
        <w:fldChar w:fldCharType="end"/>
      </w:r>
      <w:r>
        <w:rPr>
          <w:b/>
          <w:sz w:val="26"/>
          <w:rFonts w:ascii="Times New Roman" w:hAnsi="Times New Roman"/>
        </w:rPr>
        <w:t xml:space="preserve">                                                       </w:t>
      </w:r>
      <w:r>
        <w:rPr>
          <w:b/>
          <w:vanish w:val="false"/>
          <w:sz w:val="26"/>
          <w:rFonts w:ascii="Times New Roman" w:hAnsi="Times New Roman"/>
        </w:rPr>
        <w:fldChar w:fldCharType="begin"/>
        <w:instrText xml:space="preserve">X {"Y":6}</w:instrText>
        <w:fldChar w:fldCharType="separate"/>
      </w:r>
      <w:r>
        <w:rPr>
          <w:b/>
          <w:vanish w:val="false"/>
          <w:sz w:val="26"/>
          <w:rFonts w:ascii="Times New Roman" w:hAnsi="Times New Roman"/>
        </w:rPr>
        <w:t xml:space="preserve">Ariza berilgan sana</w:t>
        <w:fldChar w:fldCharType="end"/>
      </w:r>
    </w:p>
    <w:p>
      <w:pPr>
        <w:jc w:val="both"/>
        <w:ind w:left="-284" w:firstLine="1134"/>
        <w:spacing w:after="0"/>
        <w:rPr>
          <w:b/>
          <w:sz w:val="26"/>
          <w:rFonts w:ascii="Times New Roman" w:hAnsi="Times New Roman"/>
        </w:rPr>
      </w:pPr>
    </w:p>
    <w:p>
      <w:pPr>
        <w:jc w:val="both"/>
        <w:ind w:left="-284" w:firstLine="1134"/>
        <w:spacing w:after="0"/>
        <w:rPr>
          <w:b/>
          <w:sz w:val="26"/>
          <w:rFonts w:ascii="Times New Roman" w:hAnsi="Times New Roman"/>
        </w:rPr>
      </w:pPr>
      <w:r>
        <w:rPr>
          <w:b/>
          <w:sz w:val="26"/>
          <w:rFonts w:ascii="Times New Roman" w:hAnsi="Times New Roman"/>
        </w:rPr>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47F8"/>
    <w:rsid w:val="00114A4E"/>
    <w:rsid w:val="00163B49"/>
    <w:rsid w:val="00241A20"/>
    <w:rsid w:val="002E17B3"/>
    <w:rsid w:val="004C47F8"/>
    <w:rsid w:val="00503B27"/>
    <w:rsid w:val="00833987"/>
    <w:rsid w:val="00833D8E"/>
    <w:rsid w:val="00981751"/>
    <w:rsid w:val="00A3762A"/>
    <w:rsid w:val="00A6252F"/>
    <w:rsid w:val="00AC7EE7"/>
    <w:rsid w:val="00AE2BC6"/>
    <w:rsid w:val="00C37962"/>
    <w:rsid w:val="00EA1A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8460A"/>
  <w15:chartTrackingRefBased/>
  <w15:docId w15:val="{BA8F71E4-4926-4069-8A95-DB8B6CFC3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600</Words>
  <Characters>3426</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Dilorom Matkarimova</cp:lastModifiedBy>
  <cp:revision>2</cp:revision>
  <dcterms:created xsi:type="dcterms:W3CDTF">2025-01-31T10:14:00Z</dcterms:created>
  <dcterms:modified xsi:type="dcterms:W3CDTF">2025-01-31T10:14:00Z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Ariza rekvizitlari</w:name>
    <w:value w:hidden="true">
      <w:unit w:active="false"/>
    </w:value>
  </w:element>
  <w:element w:id="2" w:kind="variable" w:type="string" w:valueMode="normal" w:required="false" w:groupID="1">
    <w:identifier xml:space="preserve">ID2</w:identifier>
    <w:name xml:space="preserve">Fuqarolik ishlari bo‘yicha sudning nomi</w:name>
    <w:value w:hidden="false">
      <w:unit w:active="false"/>
      <w:binding w:dataSource="1" w:column="court_name" w:search="false"/>
    </w:value>
  </w:element>
  <w:element w:id="3" w:kind="variable" w:type="string" w:valueMode="normal" w:required="false" w:groupID="1">
    <w:identifier xml:space="preserve">ID3</w:identifier>
    <w:name xml:space="preserve">Da’vogarning F.I.Osi</w:name>
    <w:value w:hidden="false">
      <w:unit w:active="false"/>
    </w:value>
  </w:element>
  <w:element w:id="4" w:kind="variable" w:type="string" w:valueMode="normal" w:required="false" w:groupID="1">
    <w:identifier xml:space="preserve">ID4</w:identifier>
    <w:name xml:space="preserve">Da’vogarning manzili</w:name>
    <w:value w:hidden="false">
      <w:unit w:active="false"/>
    </w:value>
  </w:element>
  <w:element w:id="5" w:kind="variable" w:type="string" w:valueMode="normal" w:required="false" w:groupID="1">
    <w:identifier xml:space="preserve">ID5</w:identifier>
    <w:name xml:space="preserve">Hal qiluv qarori raqami</w:name>
    <w:value w:hidden="false">
      <w:unit w:active="false"/>
    </w:value>
  </w:element>
  <w:element w:id="6" w:kind="variable" w:type="string" w:valueMode="normal" w:required="false" w:groupID="1">
    <w:identifier xml:space="preserve">ID6</w:identifier>
    <w:name xml:space="preserve">Ariza berilgan sana</w:name>
    <w:value w:hidden="false">
      <w:unit w:active="false"/>
    </w:value>
  </w:element>
  <w:element w:id="7" w:kind="category" w:type="string" w:valueMode="normal" w:required="false" w:groupID="7">
    <w:identifier xml:space="preserve">ID7</w:identifier>
    <w:name xml:space="preserve">Ariza mazmuni</w:name>
    <w:value w:hidden="true">
      <w:unit w:active="false"/>
    </w:value>
  </w:element>
  <w:element w:id="8" w:kind="variable" w:type="string" w:valueMode="normal" w:required="false" w:groupID="7">
    <w:identifier xml:space="preserve">ID8</w:identifier>
    <w:name xml:space="preserve">Javobgar tomonidan Da’vogarni ishdan bo‘shatish to‘g‘risidagi buyrug‘i sanasi</w:name>
    <w:value w:hidden="false">
      <w:unit w:active="false"/>
    </w:value>
  </w:element>
  <w:element w:id="9" w:kind="variable" w:type="string" w:valueMode="normal" w:required="false" w:groupID="7">
    <w:identifier xml:space="preserve">ID9</w:identifier>
    <w:name xml:space="preserve">Javobgar tomonidan Da’vogarga hayfsan qo‘llanilgan sana</w:name>
    <w:value w:hidden="false">
      <w:unit w:active="false"/>
    </w:value>
  </w:element>
</w:structure>
</file>