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2530"/>
        <w:gridCol w:w="3707"/>
      </w:tblGrid>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pStyle w:val="ConsPlusNonformat"/>
              <w:jc w:val="both"/>
              <w:spacing w:line="276" w:lineRule="auto"/>
              <w:rPr>
                <w:b/>
                <w:sz w:val="24"/>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Daʼvo ariza berilgan sud nomi </w:t>
              <w:fldChar w:fldCharType="end"/>
            </w:r>
            <w:r>
              <w:rPr>
                <w:b/>
                <w:sz w:val="24"/>
                <w:rFonts w:ascii="Times New Roman" w:hAnsi="Times New Roman"/>
              </w:rPr>
              <w:t>ga</w:t>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right"/>
              <w:spacing w:line="276" w:lineRule="auto"/>
              <w:rPr>
                <w:b/>
                <w:sz w:val="24"/>
                <w:rFonts w:ascii="Times New Roman" w:hAnsi="Times New Roman"/>
              </w:rPr>
            </w:pPr>
            <w:r>
              <w:rPr>
                <w:b/>
                <w:sz w:val="24"/>
                <w:rFonts w:ascii="Times New Roman" w:hAnsi="Times New Roman"/>
              </w:rPr>
              <w:t>Daʼvogar:</w:t>
            </w:r>
          </w:p>
        </w:tc>
        <w:tc>
          <w:tcPr>
            <w:tcW w:w="3793" w:type="dxa"/>
          </w:tcPr>
          <w:p>
            <w:pPr>
              <w:pStyle w:val="ConsPlusNonformat"/>
              <w:jc w:val="both"/>
              <w:spacing w:line="276" w:lineRule="auto"/>
              <w:rPr>
                <w:b/>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Daʼvogarniing F.I.Sh i</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pStyle w:val="ConsPlusNonformat"/>
              <w:jc w:val="both"/>
              <w:spacing w:line="276" w:lineRule="auto"/>
              <w:rPr>
                <w:b/>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Daʼvogarniing yashash manzili </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pStyle w:val="ConsPlusNonformat"/>
              <w:jc w:val="both"/>
              <w:spacing w:line="276" w:lineRule="auto"/>
              <w:rPr>
                <w:b/>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Daʼvogarniing telefon raqami </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pStyle w:val="ConsPlusNonformat"/>
              <w:jc w:val="both"/>
              <w:spacing w:line="276" w:lineRule="auto"/>
              <w:rPr>
                <w:b/>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Daʼvogarniing elektron manzili </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pStyle w:val="ConsPlusNonformat"/>
              <w:jc w:val="both"/>
              <w:spacing w:line="276" w:lineRule="auto"/>
              <w:rPr>
                <w:b/>
                <w:sz w:val="24"/>
                <w:rFonts w:ascii="Times New Roman" w:hAnsi="Times New Roman"/>
              </w:rPr>
            </w:pP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right"/>
              <w:spacing w:line="276" w:lineRule="auto"/>
              <w:rPr>
                <w:b/>
                <w:sz w:val="24"/>
                <w:rFonts w:ascii="Times New Roman" w:hAnsi="Times New Roman"/>
              </w:rPr>
            </w:pPr>
            <w:r>
              <w:rPr>
                <w:b/>
                <w:sz w:val="24"/>
                <w:rFonts w:ascii="Times New Roman" w:hAnsi="Times New Roman"/>
              </w:rPr>
              <w:t>Javobgar:</w:t>
            </w:r>
          </w:p>
        </w:tc>
        <w:tc>
          <w:tcPr>
            <w:tcW w:w="3793" w:type="dxa"/>
          </w:tcPr>
          <w:p>
            <w:pPr>
              <w:pStyle w:val="ConsPlusNonformat"/>
              <w:jc w:val="both"/>
              <w:spacing w:line="276" w:lineRule="auto"/>
              <w:rPr>
                <w:b/>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Javobgar yuridik shaxsning toʻliq nomi  </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Javobgarning manzili </w:t>
              <w:fldChar w:fldCharType="end"/>
            </w:r>
          </w:p>
        </w:tc>
      </w:tr>
      <w:tr>
        <w:tc>
          <w:tcPr>
            <w:tcW w:w="3190" w:type="dxa"/>
          </w:tcPr>
          <w:p>
            <w:pPr>
              <w:pStyle w:val="ConsPlusNonformat"/>
              <w:jc w:val="both"/>
              <w:spacing w:line="276" w:lineRule="auto"/>
              <w:rPr>
                <w:b/>
                <w:sz w:val="24"/>
                <w:rFonts w:ascii="Times New Roman" w:hAnsi="Times New Roman"/>
              </w:rPr>
            </w:pPr>
            <w:r>
              <w:rPr>
                <w:b/>
                <w:sz w:val="24"/>
                <w:rFonts w:ascii="Times New Roman" w:hAnsi="Times New Roman"/>
              </w:rPr>
            </w: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Javobgarning hisob raqami </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 Javobgarning STIR raqami</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Javobgarning MFO raqami </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Javobgarning OKED raqami </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Javobgarning telefon raqami</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Elektron manzili</w:t>
              <w:fldChar w:fldCharType="end"/>
            </w: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both"/>
              <w:spacing w:line="276" w:lineRule="auto"/>
              <w:rPr>
                <w:b/>
                <w:sz w:val="24"/>
                <w:rFonts w:ascii="Times New Roman" w:hAnsi="Times New Roman"/>
              </w:rPr>
            </w:pPr>
          </w:p>
        </w:tc>
        <w:tc>
          <w:tcPr>
            <w:tcW w:w="3793" w:type="dxa"/>
          </w:tcPr>
          <w:p>
            <w:pPr>
              <w:spacing w:line="276" w:lineRule="auto"/>
              <w:rPr>
                <w:sz w:val="24"/>
                <w:rFonts w:ascii="Times New Roman" w:hAnsi="Times New Roman"/>
              </w:rPr>
            </w:pPr>
          </w:p>
        </w:tc>
      </w:tr>
      <w:tr>
        <w:tc>
          <w:tcPr>
            <w:tcW w:w="3190" w:type="dxa"/>
          </w:tcPr>
          <w:p>
            <w:pPr>
              <w:pStyle w:val="ConsPlusNonformat"/>
              <w:jc w:val="both"/>
              <w:spacing w:line="276" w:lineRule="auto"/>
              <w:rPr>
                <w:b/>
                <w:sz w:val="24"/>
                <w:rFonts w:ascii="Times New Roman" w:hAnsi="Times New Roman"/>
              </w:rPr>
            </w:pPr>
          </w:p>
        </w:tc>
        <w:tc>
          <w:tcPr>
            <w:tcW w:w="2588" w:type="dxa"/>
          </w:tcPr>
          <w:p>
            <w:pPr>
              <w:pStyle w:val="ConsPlusNonformat"/>
              <w:jc w:val="right"/>
              <w:spacing w:line="276" w:lineRule="auto"/>
              <w:rPr>
                <w:b/>
                <w:sz w:val="24"/>
                <w:rFonts w:ascii="Times New Roman" w:hAnsi="Times New Roman"/>
              </w:rPr>
            </w:pPr>
            <w:r>
              <w:rPr>
                <w:b/>
                <w:sz w:val="24"/>
                <w:rFonts w:ascii="Times New Roman" w:hAnsi="Times New Roman"/>
              </w:rPr>
              <w:t xml:space="preserve">Daʼvo mazmuni:</w:t>
            </w:r>
          </w:p>
        </w:tc>
        <w:tc>
          <w:tcPr>
            <w:tcW w:w="3793" w:type="dxa"/>
          </w:tcPr>
          <w:p>
            <w:pPr>
              <w:pStyle w:val="ConsPlusNonformat"/>
              <w:jc w:val="both"/>
              <w:spacing w:line="276" w:lineRule="auto"/>
              <w:rPr>
                <w:sz w:val="24"/>
                <w:rFonts w:ascii="Times New Roman" w:hAnsi="Times New Roman"/>
              </w:rPr>
            </w:pPr>
            <w:r>
              <w:rPr>
                <w:sz w:val="24"/>
                <w:rFonts w:ascii="Times New Roman" w:hAnsi="Times New Roman"/>
              </w:rPr>
              <w:t xml:space="preserve">Ishlab chiqarish jarayonida                                                                          mehnatda shikastlanganlik uchun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Ishlab chiqarish jarayonida mehnatda shikastlanganlik uchun undirilishi soʻralayotgan summa miqdori</w:t>
              <w:fldChar w:fldCharType="end"/>
            </w:r>
            <w:r>
              <w:rPr>
                <w:sz w:val="24"/>
                <w:rFonts w:ascii="Times New Roman" w:hAnsi="Times New Roman"/>
              </w:rPr>
              <w:t xml:space="preserve"> soʻm toʻlov undirish toʻgʻrisida </w:t>
            </w:r>
          </w:p>
          <w:p>
            <w:pPr>
              <w:spacing w:line="276" w:lineRule="auto"/>
              <w:rPr>
                <w:sz w:val="24"/>
                <w:rFonts w:ascii="Times New Roman" w:hAnsi="Times New Roman"/>
              </w:rPr>
            </w:pPr>
          </w:p>
        </w:tc>
      </w:tr>
    </w:tbl>
    <w:p>
      <w:pPr>
        <w:pStyle w:val="ConsPlusNonformat"/>
        <w:jc w:val="both"/>
        <w:spacing w:line="276" w:lineRule="auto"/>
        <w:rPr>
          <w:b/>
          <w:sz w:val="24"/>
          <w:rFonts w:ascii="Times New Roman" w:hAnsi="Times New Roman"/>
        </w:rPr>
      </w:pPr>
    </w:p>
    <w:p>
      <w:pPr>
        <w:pStyle w:val="ConsPlusNonformat"/>
        <w:jc w:val="center"/>
        <w:spacing w:line="276" w:lineRule="auto"/>
        <w:rPr>
          <w:b/>
          <w:sz w:val="24"/>
          <w:rFonts w:ascii="Times New Roman" w:hAnsi="Times New Roman"/>
        </w:rPr>
      </w:pPr>
      <w:r>
        <w:rPr>
          <w:b/>
          <w:sz w:val="24"/>
          <w:rFonts w:ascii="Times New Roman" w:hAnsi="Times New Roman"/>
        </w:rPr>
        <w:t xml:space="preserve">DAʼVO ARIZA</w:t>
      </w:r>
    </w:p>
    <w:p>
      <w:pPr>
        <w:pStyle w:val="ConsPlusNonformat"/>
        <w:jc w:val="both"/>
        <w:spacing w:line="276" w:lineRule="auto"/>
        <w:rPr>
          <w:sz w:val="24"/>
          <w:rFonts w:ascii="Times New Roman" w:hAnsi="Times New Roman"/>
        </w:rPr>
      </w:pPr>
    </w:p>
    <w:p>
      <w:pPr>
        <w:pStyle w:val="ConsPlusNonformat"/>
        <w:jc w:val="both"/>
        <w:spacing w:line="276" w:lineRule="auto"/>
        <w:rPr>
          <w:sz w:val="24"/>
          <w:rFonts w:ascii="Times New Roman" w:hAnsi="Times New Roman"/>
        </w:rPr>
      </w:pPr>
      <w:r>
        <w:rPr>
          <w:sz w:val="24"/>
          <w:rFonts w:ascii="Times New Roman" w:hAnsi="Times New Roman"/>
        </w:rPr>
        <w:t xml:space="preserve">            Men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Daʼvogar egallab turgan vazifasida (lavozimida) qachondan buyon ishlab kelyotganligi </w:t>
        <w:fldChar w:fldCharType="end"/>
      </w:r>
      <w:r>
        <w:rPr>
          <w:sz w:val="24"/>
          <w:rFonts w:ascii="Times New Roman" w:hAnsi="Times New Roman"/>
        </w:rPr>
        <w:t xml:space="preserve"> yildan buyon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Javobgar korxona nomi  </w:t>
        <w:fldChar w:fldCharType="end"/>
      </w:r>
      <w:r>
        <w:rPr>
          <w:sz w:val="24"/>
          <w:rFonts w:ascii="Times New Roman" w:hAnsi="Times New Roman"/>
        </w:rPr>
        <w:t xml:space="preserve"> korxonasida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Daʼvogar ishlab kelgan vazifa (lavozim) nomi </w:t>
        <w:fldChar w:fldCharType="end"/>
      </w:r>
      <w:r>
        <w:rPr>
          <w:sz w:val="24"/>
          <w:rFonts w:ascii="Times New Roman" w:hAnsi="Times New Roman"/>
        </w:rPr>
        <w:t xml:space="preserve"> vazifasida ishlab kelganman.</w:t>
      </w:r>
    </w:p>
    <w:p>
      <w:pPr>
        <w:pStyle w:val="ConsPlusNonformat"/>
        <w:jc w:val="both"/>
        <w:spacing w:line="276" w:lineRule="auto"/>
        <w:rPr>
          <w:i/>
          <w:sz w:val="24"/>
          <w:rFonts w:ascii="Times New Roman" w:hAnsi="Times New Roman"/>
        </w:rPr>
      </w:pPr>
      <w:r>
        <w:rPr>
          <w:sz w:val="24"/>
          <w:rFonts w:ascii="Times New Roman" w:hAnsi="Times New Roman"/>
        </w:rPr>
        <w:tab/>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 Ishlab chiqarish jarayonida xodimning sogʻligʻiga zarar yetkazgan baxtsiz xodisa sodir boʻlgan vaqt (kalendar)</w:t>
        <w:fldChar w:fldCharType="end"/>
      </w:r>
      <w:r>
        <w:rPr>
          <w:sz w:val="24"/>
          <w:rFonts w:ascii="Times New Roman" w:hAnsi="Times New Roman"/>
        </w:rPr>
        <w:t xml:space="preserve">yilda korxonada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Baxtsiz xodisaning qisqacha mazmuni  </w:t>
        <w:fldChar w:fldCharType="end"/>
      </w:r>
      <w:r>
        <w:rPr>
          <w:sz w:val="24"/>
          <w:rFonts w:ascii="Times New Roman" w:hAnsi="Times New Roman"/>
        </w:rPr>
        <w:t xml:space="preserve"> sodir boʻlganligi tufayli sogʻligʻimga shikast yetdi. Natijada men mehnat qobiliyatimning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Baxtsiz hodisa  natijasida mehnat qobiliyatining necha foizi yoʻqotilganligi  </w:t>
        <w:fldChar w:fldCharType="end"/>
      </w:r>
      <w:r>
        <w:rPr>
          <w:sz w:val="24"/>
          <w:rFonts w:ascii="Times New Roman" w:hAnsi="Times New Roman"/>
        </w:rPr>
        <w:t xml:space="preserve"> foizini yoʻqotdim.</w:t>
      </w:r>
    </w:p>
    <w:p>
      <w:pPr>
        <w:pStyle w:val="ConsPlusNonformat"/>
        <w:jc w:val="both"/>
        <w:spacing w:line="276" w:lineRule="auto"/>
        <w:rPr>
          <w:sz w:val="24"/>
          <w:rFonts w:ascii="Times New Roman" w:hAnsi="Times New Roman"/>
        </w:rPr>
      </w:pPr>
      <w:r>
        <w:rPr>
          <w:sz w:val="24"/>
          <w:rFonts w:ascii="Times New Roman" w:hAnsi="Times New Roman"/>
        </w:rPr>
        <w:tab/>
        <w:t xml:space="preserve">Mazkur holat boʻyicha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 Baxtsiz hodisa va uning oqibatlari yuzasidan qanday hujjatlar rasmiylashtirilganligi  </w:t>
        <w:fldChar w:fldCharType="end"/>
      </w:r>
      <w:r>
        <w:rPr>
          <w:sz w:val="24"/>
          <w:rFonts w:ascii="Times New Roman" w:hAnsi="Times New Roman"/>
        </w:rPr>
        <w:t xml:space="preserve"> kabi hujjatlar rasmiylashtirilgan.</w:t>
      </w:r>
    </w:p>
    <w:p>
      <w:pPr>
        <w:pStyle w:val="ConsPlusNonformat"/>
        <w:jc w:val="both"/>
        <w:spacing w:line="276" w:lineRule="auto"/>
        <w:rPr>
          <w:sz w:val="24"/>
          <w:rFonts w:ascii="Times New Roman" w:hAnsi="Times New Roman"/>
        </w:rPr>
      </w:pPr>
      <w:r>
        <w:rPr>
          <w:sz w:val="24"/>
          <w:rFonts w:ascii="Times New Roman" w:hAnsi="Times New Roman"/>
        </w:rPr>
        <w:tab/>
        <w:t xml:space="preserve">Shunday boʻlsada korxona tomonidan mening sogʻligʻimga yetkazilgan zararni toʻlash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Sogʻliqqa yetkazilgan zarar toʻlanmasligi sabablari koʻrsatiladi  </w:t>
        <w:fldChar w:fldCharType="end"/>
      </w:r>
      <w:r>
        <w:rPr>
          <w:sz w:val="24"/>
          <w:rFonts w:ascii="Times New Roman" w:hAnsi="Times New Roman"/>
        </w:rPr>
        <w:t xml:space="preserve"> kabi sabablarga asosan kechiktirilib, ijro qilinmasdan kelinmoqda.</w:t>
      </w:r>
    </w:p>
    <w:p>
      <w:pPr>
        <w:jc w:val="both"/>
        <w:spacing w:after="0"/>
        <w:rPr>
          <w:sz w:val="24"/>
          <w:rFonts w:ascii="Times New Roman" w:hAnsi="Times New Roman"/>
        </w:rPr>
      </w:pPr>
      <w:r>
        <w:rPr>
          <w:sz w:val="24"/>
          <w:rFonts w:ascii="Times New Roman" w:hAnsi="Times New Roman"/>
        </w:rPr>
        <w:t xml:space="preserve">             Oʻzbekiston Respublikasi Mehnat kodeksining 322-moddasiga koʻra, </w:t>
      </w:r>
      <w:bookmarkStart w:id="1" w:name="144775"/>
      <w:r>
        <w:rPr>
          <w:sz w:val="24"/>
          <w:rFonts w:ascii="Times New Roman" w:hAnsi="Times New Roman"/>
        </w:rPr>
        <w:t xml:space="preserve">xodimning sogʻligʻiga yetkazilgan ziyonning oʻrnini ish beruvchi tomonidan qoplash quyidagilarni oʻz ichiga oladi: xodimga bir martalik nafaqa toʻlash, xodimga yoʻqotilgan ish haqi uchun yetkazilgan ziyonning oʻrnini qoplash tarzida amalga oshiriladigan har oylik toʻlovlar; xodimning qoʻshimcha xarajatlarini kompensatsiya qilish.</w:t>
      </w:r>
    </w:p>
    <w:p>
      <w:pPr>
        <w:jc w:val="both"/>
        <w:ind w:firstLine="709"/>
        <w:spacing w:after="0"/>
        <w:rPr>
          <w:sz w:val="24"/>
          <w:rFonts w:ascii="Times New Roman" w:hAnsi="Times New Roman"/>
        </w:rPr>
      </w:pPr>
      <w:r>
        <w:rPr>
          <w:sz w:val="24"/>
          <w:rFonts w:ascii="Times New Roman" w:hAnsi="Times New Roman"/>
        </w:rPr>
        <w:t xml:space="preserve">Shuningdek, mazkur kodeksning 323-moddasiga koʻra, xodimning sogʻligʻiga ziyon yetkazilganligi munosabati bilan ish beruvchi tomonidan bir yoʻla toʻlanadigan nafaqa miqdori jamoa shartnomasida, agar u tuzilmagan boʻlsa, ish beruvchi va kasaba uyushmasi qoʻmitasi oʻrtasidagi kelishuvga binoan belgilanadi. Bunda xodimning sogʻligʻiga ziyon yetkazilganligi munosabati bilan bir yoʻla toʻlanadigan nafaqa miqdori jabrlangan xodimning oʻrtacha oylik ish haqi asosida hisoblangan yillik ish haqidan kam boʻlmasligi kerak.</w:t>
      </w:r>
    </w:p>
    <w:p>
      <w:pPr>
        <w:jc w:val="both"/>
        <w:ind w:firstLine="709"/>
        <w:spacing w:after="0"/>
        <w:rPr>
          <w:sz w:val="24"/>
          <w:rFonts w:ascii="Times New Roman" w:hAnsi="Times New Roman"/>
        </w:rPr>
      </w:pPr>
      <w:r>
        <w:rPr>
          <w:sz w:val="24"/>
          <w:rFonts w:ascii="Times New Roman" w:hAnsi="Times New Roman"/>
        </w:rPr>
        <w:t xml:space="preserve">Mazkur kodeksning 324-moddasiga koʻra, xodimning sogʻligʻiga ziyon yetkazilganligi munosabati bilan yoʻqotilgan ish haqining oʻrnini qoplash uchun amalga oshiriladigan oylik toʻlovlar miqdori jabrlanuvchi mehnatda mayib boʻlguniga qadar olgan oʻrtacha oylik ish haqiga nisbatan uning kasbiy mehnat qobiliyatining yoʻqotilishi darajasiga muvofiq boʻlgan foizli nisbatda belgilanadi. Kasbiy mehnat qobiliyatini yoʻqotish darajasi tibbiy-ijtimoiy ekspert komissiyasi tomonidan belgilanadi.</w:t>
      </w:r>
    </w:p>
    <w:p>
      <w:pPr>
        <w:jc w:val="both"/>
        <w:ind w:firstLine="709"/>
        <w:spacing w:after="0"/>
        <w:rPr>
          <w:sz w:val="24"/>
          <w:rFonts w:ascii="Times New Roman" w:hAnsi="Times New Roman"/>
        </w:rPr>
      </w:pPr>
      <w:r>
        <w:rPr>
          <w:sz w:val="24"/>
          <w:rFonts w:ascii="Times New Roman" w:hAnsi="Times New Roman"/>
        </w:rPr>
        <w:t xml:space="preserve">Ziyonning oʻrnini qoplashga oid toʻlovni tayinlashda jabrlanuvchi oladigan ish haqi, stipendiya, pensiya va boshqa daromadlar hisobga olinmaydi. Bunda mehnatda mayib boʻlgan jabrlanganlarga — nogironligi boʻlgan shaxslarga yetkazilgan ziyonning oʻrnini qoplash summasi qonunchilikda belgilangan mehnatga haq toʻlash eng kam miqdorining ellik foizidan kam boʻlmasligi kerak.</w:t>
      </w:r>
      <w:bookmarkEnd w:id="1"/>
    </w:p>
    <w:p>
      <w:pPr>
        <w:pStyle w:val="ConsPlusNonformat"/>
        <w:jc w:val="both"/>
        <w:spacing w:line="276" w:lineRule="auto"/>
        <w:rPr>
          <w:sz w:val="24"/>
          <w:rFonts w:ascii="Times New Roman" w:hAnsi="Times New Roman"/>
        </w:rPr>
      </w:pPr>
      <w:r>
        <w:rPr>
          <w:sz w:val="24"/>
          <w:rFonts w:ascii="Times New Roman" w:hAnsi="Times New Roman"/>
        </w:rPr>
        <w:tab/>
        <w:t xml:space="preserve">Bugungi kungacha mening sogʻligʻimni tiklashga ketgan xarajatlar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Daʼvogar sogʻligʻiga yetkazilgan zarar soʻmmasi  </w:t>
        <w:fldChar w:fldCharType="end"/>
      </w:r>
      <w:r>
        <w:rPr>
          <w:sz w:val="24"/>
          <w:rFonts w:ascii="Times New Roman" w:hAnsi="Times New Roman"/>
        </w:rPr>
        <w:t xml:space="preserve"> soʻmni tashkil qiladi. Daʼvo talabimga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Daʼvo talabiga asos sifatida keltirilgan hujjatlar roʻyxati va ishga oid boshqa holatlar</w:t>
        <w:fldChar w:fldCharType="end"/>
      </w:r>
      <w:r>
        <w:rPr>
          <w:sz w:val="24"/>
          <w:rFonts w:ascii="Times New Roman" w:hAnsi="Times New Roman"/>
        </w:rPr>
        <w:t xml:space="preserve"> kabi hujjatlarni asos sifatida keltiraman. </w:t>
      </w:r>
    </w:p>
    <w:p>
      <w:pPr>
        <w:pStyle w:val="ConsPlusNonformat"/>
        <w:jc w:val="both"/>
        <w:spacing w:line="276" w:lineRule="auto"/>
        <w:rPr>
          <w:sz w:val="24"/>
          <w:rFonts w:ascii="Times New Roman" w:hAnsi="Times New Roman"/>
        </w:rPr>
      </w:pPr>
      <w:r>
        <w:rPr>
          <w:sz w:val="24"/>
          <w:rFonts w:ascii="Times New Roman" w:hAnsi="Times New Roman"/>
        </w:rPr>
        <w:t xml:space="preserve">    </w:t>
        <w:tab/>
        <w:t xml:space="preserve">Yuqoridagilarni inobatga olib, Mehnat kodeksining 189-moddasiga asosan </w:t>
      </w:r>
    </w:p>
    <w:p>
      <w:pPr>
        <w:pStyle w:val="ConsPlusNonformat"/>
        <w:jc w:val="both"/>
        <w:spacing w:line="276" w:lineRule="auto"/>
        <w:rPr>
          <w:sz w:val="24"/>
          <w:rFonts w:ascii="Times New Roman" w:hAnsi="Times New Roman"/>
        </w:rPr>
      </w:pPr>
    </w:p>
    <w:p>
      <w:pPr>
        <w:pStyle w:val="ConsPlusNonformat"/>
        <w:jc w:val="center"/>
        <w:spacing w:line="276" w:lineRule="auto"/>
        <w:rPr>
          <w:b/>
          <w:sz w:val="24"/>
          <w:rFonts w:ascii="Times New Roman" w:hAnsi="Times New Roman"/>
        </w:rPr>
      </w:pPr>
      <w:r>
        <w:rPr>
          <w:b/>
          <w:sz w:val="24"/>
          <w:rFonts w:ascii="Times New Roman" w:hAnsi="Times New Roman"/>
        </w:rPr>
        <w:t>SOʻRAYMAN:</w:t>
      </w:r>
    </w:p>
    <w:p>
      <w:pPr>
        <w:pStyle w:val="ConsPlusNonformat"/>
        <w:jc w:val="both"/>
        <w:spacing w:line="276" w:lineRule="auto"/>
        <w:rPr>
          <w:sz w:val="24"/>
          <w:rFonts w:ascii="Times New Roman" w:hAnsi="Times New Roman"/>
        </w:rPr>
      </w:pP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1. Ishlab chiqarish jarayonida mehnatda shikastlanganligim uchun javobgardan mening foydamga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Javobgardan undirilishi soʻralayotgan summa </w:t>
        <w:fldChar w:fldCharType="end"/>
      </w:r>
      <w:r>
        <w:rPr>
          <w:sz w:val="24"/>
          <w:rFonts w:ascii="Times New Roman" w:hAnsi="Times New Roman"/>
        </w:rPr>
        <w:t xml:space="preserve"> soʻm miqdorida yetkazilgan zararni undirish toʻgʻrisida hal qiluv qarori chiqarishingizni.</w:t>
      </w:r>
    </w:p>
    <w:p>
      <w:pPr>
        <w:pStyle w:val="ConsPlusNonformat"/>
        <w:jc w:val="both"/>
        <w:spacing w:line="276" w:lineRule="auto"/>
        <w:rPr>
          <w:sz w:val="24"/>
          <w:rFonts w:ascii="Times New Roman" w:hAnsi="Times New Roman"/>
        </w:rPr>
      </w:pP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Ilova: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Daʼvo arizaga ilova qilinayotgan hujjatlar roʻyxati    </w:t>
        <w:fldChar w:fldCharType="end"/>
      </w:r>
    </w:p>
    <w:p>
      <w:pPr>
        <w:pStyle w:val="ConsPlusNonformat"/>
        <w:jc w:val="both"/>
        <w:spacing w:line="276" w:lineRule="auto"/>
        <w:rPr>
          <w:sz w:val="24"/>
          <w:rFonts w:ascii="Times New Roman" w:hAnsi="Times New Roman"/>
        </w:rPr>
      </w:pPr>
      <w:r>
        <w:rPr>
          <w:sz w:val="24"/>
          <w:rFonts w:ascii="Times New Roman" w:hAnsi="Times New Roman"/>
        </w:rPr>
        <w:t xml:space="preserve">  </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c>
          <w:tcPr>
            <w:tcW w:w="3190" w:type="dxa"/>
          </w:tcPr>
          <w:p>
            <w:pPr>
              <w:pStyle w:val="ConsPlusNonformat"/>
              <w:jc w:val="right"/>
              <w:spacing w:line="276" w:lineRule="auto"/>
              <w:rPr>
                <w:sz w:val="24"/>
                <w:rFonts w:ascii="Times New Roman" w:hAnsi="Times New Roman"/>
              </w:rPr>
            </w:pPr>
            <w:r>
              <w:rPr>
                <w:b/>
                <w:sz w:val="24"/>
                <w:rFonts w:ascii="Times New Roman" w:hAnsi="Times New Roman"/>
              </w:rPr>
              <w:t xml:space="preserve">Daʼvogar:     </w:t>
            </w:r>
          </w:p>
        </w:tc>
        <w:tc>
          <w:tcPr>
            <w:tcW w:w="3190" w:type="dxa"/>
          </w:tcPr>
          <w:p>
            <w:pPr>
              <w:pStyle w:val="ConsPlusNonformat"/>
              <w:jc w:val="center"/>
              <w:spacing w:line="276"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Daʼvogarniing F.I.Sh i</w:t>
              <w:fldChar w:fldCharType="end"/>
            </w:r>
          </w:p>
        </w:tc>
        <w:tc>
          <w:tcPr>
            <w:tcW w:w="3191" w:type="dxa"/>
          </w:tcPr>
          <w:p>
            <w:pPr>
              <w:pStyle w:val="ConsPlusNonformat"/>
              <w:jc w:val="both"/>
              <w:spacing w:line="276" w:lineRule="auto"/>
              <w:rPr>
                <w:sz w:val="24"/>
                <w:rFonts w:ascii="Times New Roman" w:hAnsi="Times New Roman"/>
              </w:rPr>
            </w:pPr>
          </w:p>
        </w:tc>
      </w:tr>
      <w:tr>
        <w:tc>
          <w:tcPr>
            <w:tcW w:w="3190" w:type="dxa"/>
          </w:tcPr>
          <w:p>
            <w:pPr>
              <w:pStyle w:val="ConsPlusNonformat"/>
              <w:jc w:val="both"/>
              <w:spacing w:line="276" w:lineRule="auto"/>
              <w:rPr>
                <w:sz w:val="24"/>
                <w:rFonts w:ascii="Times New Roman" w:hAnsi="Times New Roman"/>
              </w:rPr>
            </w:pPr>
          </w:p>
        </w:tc>
        <w:tc>
          <w:tcPr>
            <w:tcW w:w="3190" w:type="dxa"/>
          </w:tcPr>
          <w:p>
            <w:pPr>
              <w:pStyle w:val="ConsPlusNonformat"/>
              <w:jc w:val="center"/>
              <w:spacing w:line="276" w:lineRule="auto"/>
              <w:rPr>
                <w:sz w:val="24"/>
                <w:rFonts w:ascii="Times New Roman" w:hAnsi="Times New Roman"/>
              </w:rPr>
            </w:pPr>
            <w:r>
              <w:rPr>
                <w:i/>
                <w:sz w:val="24"/>
                <w:rFonts w:ascii="Times New Roman" w:hAnsi="Times New Roman"/>
              </w:rPr>
              <w:t>(imzo</w:t>
            </w:r>
          </w:p>
        </w:tc>
        <w:tc>
          <w:tcPr>
            <w:tcW w:w="3191" w:type="dxa"/>
          </w:tcPr>
          <w:p>
            <w:pPr>
              <w:pStyle w:val="ConsPlusNonformat"/>
              <w:jc w:val="right"/>
              <w:spacing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Daʼvo ariza berilgan sana</w:t>
              <w:fldChar w:fldCharType="end"/>
            </w:r>
          </w:p>
        </w:tc>
      </w:tr>
    </w:tbl>
    <w:p>
      <w:pPr>
        <w:pStyle w:val="ConsPlusNonformat"/>
        <w:jc w:val="both"/>
        <w:spacing w:line="276" w:lineRule="auto"/>
        <w:rPr>
          <w:sz w:val="24"/>
          <w:rFonts w:ascii="Times New Roman" w:hAnsi="Times New Roman"/>
        </w:rPr>
      </w:pPr>
      <w:r>
        <w:rPr>
          <w:b/>
          <w:sz w:val="24"/>
          <w:rFonts w:ascii="Times New Roman" w:hAnsi="Times New Roman"/>
        </w:rPr>
      </w:r>
    </w:p>
    <w:p>
      <w:pPr>
        <w:spacing w:after="0"/>
        <w:rPr>
          <w:b/>
          <w:sz w:val="24"/>
          <w:rFonts w:ascii="Times New Roman" w:hAnsi="Times New Roman"/>
        </w:rPr>
      </w:pPr>
      <w:r>
        <w:rPr>
          <w:b/>
          <w:sz w:val="24"/>
          <w:rFonts w:ascii="Times New Roman" w:hAnsi="Times New Roman"/>
        </w:rPr>
      </w:r>
    </w:p>
    <w:p>
      <w:pPr>
        <w:spacing w:after="0"/>
        <w:rPr>
          <w:sz w:val="24"/>
          <w:rFonts w:ascii="Times New Roman" w:hAnsi="Times New Roman"/>
        </w:rPr>
      </w:pPr>
    </w:p>
    <w:p>
      <w:pPr>
        <w:spacing w:after="0"/>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D515CB"/>
    <w:multiLevelType w:val="hybridMultilevel"/>
    <w:tmpl w:val="C120807C"/>
    <w:lvl w:ilvl="0" w:tplc="EF169E0C">
      <w:start w:val="1"/>
      <w:numFmt w:val="decimal"/>
      <w:lvlText w:val="(%1)"/>
      <w:lvlJc w:val="left"/>
      <w:pPr>
        <w:ind w:left="5878" w:hanging="360"/>
      </w:pPr>
      <w:rPr>
        <w:rFonts w:hint="default"/>
        <w:b w:val="0"/>
        <w:color w:val="FF0000"/>
      </w:rPr>
    </w:lvl>
    <w:lvl w:ilvl="1" w:tplc="04190019" w:tentative="1">
      <w:start w:val="1"/>
      <w:numFmt w:val="lowerLetter"/>
      <w:lvlText w:val="%2."/>
      <w:lvlJc w:val="left"/>
      <w:pPr>
        <w:ind w:left="6598" w:hanging="360"/>
      </w:pPr>
    </w:lvl>
    <w:lvl w:ilvl="2" w:tplc="0419001B" w:tentative="1">
      <w:start w:val="1"/>
      <w:numFmt w:val="lowerRoman"/>
      <w:lvlText w:val="%3."/>
      <w:lvlJc w:val="right"/>
      <w:pPr>
        <w:ind w:left="7318" w:hanging="180"/>
      </w:pPr>
    </w:lvl>
    <w:lvl w:ilvl="3" w:tplc="0419000F" w:tentative="1">
      <w:start w:val="1"/>
      <w:numFmt w:val="decimal"/>
      <w:lvlText w:val="%4."/>
      <w:lvlJc w:val="left"/>
      <w:pPr>
        <w:ind w:left="8038" w:hanging="360"/>
      </w:pPr>
    </w:lvl>
    <w:lvl w:ilvl="4" w:tplc="04190019" w:tentative="1">
      <w:start w:val="1"/>
      <w:numFmt w:val="lowerLetter"/>
      <w:lvlText w:val="%5."/>
      <w:lvlJc w:val="left"/>
      <w:pPr>
        <w:ind w:left="8758" w:hanging="360"/>
      </w:pPr>
    </w:lvl>
    <w:lvl w:ilvl="5" w:tplc="0419001B" w:tentative="1">
      <w:start w:val="1"/>
      <w:numFmt w:val="lowerRoman"/>
      <w:lvlText w:val="%6."/>
      <w:lvlJc w:val="right"/>
      <w:pPr>
        <w:ind w:left="9478" w:hanging="180"/>
      </w:pPr>
    </w:lvl>
    <w:lvl w:ilvl="6" w:tplc="0419000F" w:tentative="1">
      <w:start w:val="1"/>
      <w:numFmt w:val="decimal"/>
      <w:lvlText w:val="%7."/>
      <w:lvlJc w:val="left"/>
      <w:pPr>
        <w:ind w:left="10198" w:hanging="360"/>
      </w:pPr>
    </w:lvl>
    <w:lvl w:ilvl="7" w:tplc="04190019" w:tentative="1">
      <w:start w:val="1"/>
      <w:numFmt w:val="lowerLetter"/>
      <w:lvlText w:val="%8."/>
      <w:lvlJc w:val="left"/>
      <w:pPr>
        <w:ind w:left="10918" w:hanging="360"/>
      </w:pPr>
    </w:lvl>
    <w:lvl w:ilvl="8" w:tplc="0419001B" w:tentative="1">
      <w:start w:val="1"/>
      <w:numFmt w:val="lowerRoman"/>
      <w:lvlText w:val="%9."/>
      <w:lvlJc w:val="right"/>
      <w:pPr>
        <w:ind w:left="116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compat>
    <w:useFELayout/>
    <w:compatSetting w:name="compatibilityMode" w:uri="http://schemas.microsoft.com/office/word" w:val="12"/>
  </w:compat>
  <w:rsids>
    <w:rsidRoot w:val="00AC6651"/>
    <w:rsid w:val="0002199D"/>
    <w:rsid w:val="000406B1"/>
    <w:rsid w:val="0004476E"/>
    <w:rsid w:val="000606F6"/>
    <w:rsid w:val="00080E1F"/>
    <w:rsid w:val="000A3646"/>
    <w:rsid w:val="000D37EF"/>
    <w:rsid w:val="001801BD"/>
    <w:rsid w:val="00205DDB"/>
    <w:rsid w:val="00220C5C"/>
    <w:rsid w:val="00252901"/>
    <w:rsid w:val="0028307D"/>
    <w:rsid w:val="00295C7D"/>
    <w:rsid w:val="002F316F"/>
    <w:rsid w:val="002F73D3"/>
    <w:rsid w:val="0031410A"/>
    <w:rsid w:val="003374D6"/>
    <w:rsid w:val="00401CF8"/>
    <w:rsid w:val="0041042E"/>
    <w:rsid w:val="00410DCC"/>
    <w:rsid w:val="00430680"/>
    <w:rsid w:val="00472462"/>
    <w:rsid w:val="004947C8"/>
    <w:rsid w:val="0050241C"/>
    <w:rsid w:val="0050619F"/>
    <w:rsid w:val="00522462"/>
    <w:rsid w:val="00524DF5"/>
    <w:rsid w:val="005776B7"/>
    <w:rsid w:val="0058717A"/>
    <w:rsid w:val="005F4F91"/>
    <w:rsid w:val="00611D11"/>
    <w:rsid w:val="0063455A"/>
    <w:rsid w:val="006924BD"/>
    <w:rsid w:val="006B2A73"/>
    <w:rsid w:val="006B6FAF"/>
    <w:rsid w:val="006C0DB2"/>
    <w:rsid w:val="0077600F"/>
    <w:rsid w:val="007939E8"/>
    <w:rsid w:val="007D1027"/>
    <w:rsid w:val="007D4B4C"/>
    <w:rsid w:val="007D7C99"/>
    <w:rsid w:val="007E4EE3"/>
    <w:rsid w:val="007F033E"/>
    <w:rsid w:val="008837B6"/>
    <w:rsid w:val="00890767"/>
    <w:rsid w:val="008C6923"/>
    <w:rsid w:val="009010DA"/>
    <w:rsid w:val="00921EB7"/>
    <w:rsid w:val="00973C37"/>
    <w:rsid w:val="009D4B79"/>
    <w:rsid w:val="00A014B1"/>
    <w:rsid w:val="00A16969"/>
    <w:rsid w:val="00A52722"/>
    <w:rsid w:val="00A66F15"/>
    <w:rsid w:val="00AC6651"/>
    <w:rsid w:val="00AD613C"/>
    <w:rsid w:val="00AE518A"/>
    <w:rsid w:val="00B21065"/>
    <w:rsid w:val="00B3114F"/>
    <w:rsid w:val="00B330EC"/>
    <w:rsid w:val="00B502A9"/>
    <w:rsid w:val="00B81C81"/>
    <w:rsid w:val="00B820DC"/>
    <w:rsid w:val="00B947C7"/>
    <w:rsid w:val="00BA31C1"/>
    <w:rsid w:val="00BB5914"/>
    <w:rsid w:val="00BC29E8"/>
    <w:rsid w:val="00BC346E"/>
    <w:rsid w:val="00BC6AEA"/>
    <w:rsid w:val="00BF569D"/>
    <w:rsid w:val="00C02D1A"/>
    <w:rsid w:val="00C535DB"/>
    <w:rsid w:val="00C85C1F"/>
    <w:rsid w:val="00CC6D47"/>
    <w:rsid w:val="00CC6E4C"/>
    <w:rsid w:val="00CD5BC3"/>
    <w:rsid w:val="00D0588F"/>
    <w:rsid w:val="00D2179E"/>
    <w:rsid w:val="00D221CE"/>
    <w:rsid w:val="00D550CC"/>
    <w:rsid w:val="00D64BA5"/>
    <w:rsid w:val="00D91DA1"/>
    <w:rsid w:val="00DE381D"/>
    <w:rsid w:val="00E11189"/>
    <w:rsid w:val="00E846D5"/>
    <w:rsid w:val="00F15EAE"/>
    <w:rsid w:val="00F44BE7"/>
    <w:rsid w:val="00F87B4B"/>
    <w:rsid w:val="00F90045"/>
    <w:rsid w:val="00FC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2855E1-6E82-44DC-AD34-80EE0153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1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table" w:styleId="a3">
    <w:name w:val="Table Grid"/>
    <w:basedOn w:val="a1"/>
    <w:uiPriority w:val="59"/>
    <w:rsid w:val="00295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045808">
      <w:bodyDiv w:val="1"/>
      <w:marLeft w:val="0"/>
      <w:marRight w:val="0"/>
      <w:marTop w:val="0"/>
      <w:marBottom w:val="0"/>
      <w:divBdr>
        <w:top w:val="none" w:sz="0" w:space="0" w:color="auto"/>
        <w:left w:val="none" w:sz="0" w:space="0" w:color="auto"/>
        <w:bottom w:val="none" w:sz="0" w:space="0" w:color="auto"/>
        <w:right w:val="none" w:sz="0" w:space="0" w:color="auto"/>
      </w:divBdr>
      <w:divsChild>
        <w:div w:id="719211917">
          <w:marLeft w:val="0"/>
          <w:marRight w:val="0"/>
          <w:marTop w:val="0"/>
          <w:marBottom w:val="150"/>
          <w:divBdr>
            <w:top w:val="none" w:sz="0" w:space="0" w:color="auto"/>
            <w:left w:val="none" w:sz="0" w:space="0" w:color="auto"/>
            <w:bottom w:val="none" w:sz="0" w:space="0" w:color="auto"/>
            <w:right w:val="none" w:sz="0" w:space="0" w:color="auto"/>
          </w:divBdr>
        </w:div>
        <w:div w:id="1053888792">
          <w:marLeft w:val="0"/>
          <w:marRight w:val="0"/>
          <w:marTop w:val="0"/>
          <w:marBottom w:val="150"/>
          <w:divBdr>
            <w:top w:val="none" w:sz="0" w:space="0" w:color="auto"/>
            <w:left w:val="none" w:sz="0" w:space="0" w:color="auto"/>
            <w:bottom w:val="none" w:sz="0" w:space="0" w:color="auto"/>
            <w:right w:val="none" w:sz="0" w:space="0" w:color="auto"/>
          </w:divBdr>
        </w:div>
        <w:div w:id="1238242764">
          <w:marLeft w:val="0"/>
          <w:marRight w:val="0"/>
          <w:marTop w:val="0"/>
          <w:marBottom w:val="150"/>
          <w:divBdr>
            <w:top w:val="none" w:sz="0" w:space="0" w:color="auto"/>
            <w:left w:val="none" w:sz="0" w:space="0" w:color="auto"/>
            <w:bottom w:val="none" w:sz="0" w:space="0" w:color="auto"/>
            <w:right w:val="none" w:sz="0" w:space="0" w:color="auto"/>
          </w:divBdr>
        </w:div>
        <w:div w:id="801968717">
          <w:marLeft w:val="0"/>
          <w:marRight w:val="0"/>
          <w:marTop w:val="0"/>
          <w:marBottom w:val="150"/>
          <w:divBdr>
            <w:top w:val="none" w:sz="0" w:space="0" w:color="auto"/>
            <w:left w:val="none" w:sz="0" w:space="0" w:color="auto"/>
            <w:bottom w:val="none" w:sz="0" w:space="0" w:color="auto"/>
            <w:right w:val="none" w:sz="0" w:space="0" w:color="auto"/>
          </w:divBdr>
        </w:div>
      </w:divsChild>
    </w:div>
    <w:div w:id="1822499242">
      <w:bodyDiv w:val="1"/>
      <w:marLeft w:val="0"/>
      <w:marRight w:val="0"/>
      <w:marTop w:val="0"/>
      <w:marBottom w:val="0"/>
      <w:divBdr>
        <w:top w:val="none" w:sz="0" w:space="0" w:color="auto"/>
        <w:left w:val="none" w:sz="0" w:space="0" w:color="auto"/>
        <w:bottom w:val="none" w:sz="0" w:space="0" w:color="auto"/>
        <w:right w:val="none" w:sz="0" w:space="0" w:color="auto"/>
      </w:divBdr>
      <w:divsChild>
        <w:div w:id="688145930">
          <w:marLeft w:val="0"/>
          <w:marRight w:val="0"/>
          <w:marTop w:val="0"/>
          <w:marBottom w:val="150"/>
          <w:divBdr>
            <w:top w:val="none" w:sz="0" w:space="0" w:color="auto"/>
            <w:left w:val="none" w:sz="0" w:space="0" w:color="auto"/>
            <w:bottom w:val="none" w:sz="0" w:space="0" w:color="auto"/>
            <w:right w:val="none" w:sz="0" w:space="0" w:color="auto"/>
          </w:divBdr>
        </w:div>
        <w:div w:id="119498631">
          <w:marLeft w:val="0"/>
          <w:marRight w:val="0"/>
          <w:marTop w:val="0"/>
          <w:marBottom w:val="150"/>
          <w:divBdr>
            <w:top w:val="none" w:sz="0" w:space="0" w:color="auto"/>
            <w:left w:val="none" w:sz="0" w:space="0" w:color="auto"/>
            <w:bottom w:val="none" w:sz="0" w:space="0" w:color="auto"/>
            <w:right w:val="none" w:sz="0" w:space="0" w:color="auto"/>
          </w:divBdr>
        </w:div>
        <w:div w:id="108668341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3</Pages>
  <Words>726</Words>
  <Characters>4143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Rahimov Xudoyberdi</cp:lastModifiedBy>
  <cp:revision>44</cp:revision>
  <dcterms:created xsi:type="dcterms:W3CDTF">2018-08-27T13:29:00Z</dcterms:created>
  <dcterms:modified xsi:type="dcterms:W3CDTF">2025-03-28T09:54:00Z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Daʼvo ariza rekvizitlari </w:name>
    <w:value w:hidden="true">
      <w:unit w:active="false"/>
    </w:value>
  </w:element>
  <w:element w:id="2" w:kind="variable" w:type="string" w:valueMode="normal" w:required="false" w:groupID="1">
    <w:identifier xml:space="preserve">ID2</w:identifier>
    <w:name xml:space="preserve">Daʼvo ariza berilgan sud nomi </w:name>
    <w:value w:hidden="false">
      <w:unit w:active="false"/>
    </w:value>
  </w:element>
  <w:element w:id="3" w:kind="variable" w:type="string" w:valueMode="normal" w:required="false" w:groupID="1">
    <w:identifier xml:space="preserve">ID3</w:identifier>
    <w:name xml:space="preserve">Daʼvo ariza berilgan sana</w:name>
    <w:value w:hidden="false">
      <w:unit w:active="false"/>
    </w:value>
  </w:element>
  <w:element w:id="4" w:kind="category" w:type="string" w:valueMode="normal" w:required="false" w:groupID="4">
    <w:identifier xml:space="preserve">ID4</w:identifier>
    <w:name xml:space="preserve">Daʼvogar</w:name>
    <w:value w:hidden="true">
      <w:unit w:active="false"/>
    </w:value>
  </w:element>
  <w:element w:id="5" w:kind="variable" w:type="string" w:valueMode="normal" w:required="false" w:groupID="4">
    <w:identifier xml:space="preserve">ID5</w:identifier>
    <w:name xml:space="preserve">Daʼvogarniing F.I.Sh i</w:name>
    <w:value w:hidden="false">
      <w:unit w:active="false"/>
    </w:value>
  </w:element>
  <w:element w:id="6" w:kind="variable" w:type="string" w:valueMode="normal" w:required="false" w:groupID="4">
    <w:identifier xml:space="preserve">ID6</w:identifier>
    <w:name xml:space="preserve">Daʼvogarniing yashash manzili </w:name>
    <w:value w:hidden="false">
      <w:unit w:active="false"/>
    </w:value>
  </w:element>
  <w:element w:id="7" w:kind="variable" w:type="string" w:valueMode="normal" w:required="false" w:groupID="4">
    <w:identifier xml:space="preserve">ID7</w:identifier>
    <w:name xml:space="preserve">Daʼvogarniing telefon raqami </w:name>
    <w:value w:hidden="false">
      <w:unit w:active="false"/>
    </w:value>
  </w:element>
  <w:element w:id="8" w:kind="variable" w:type="string" w:valueMode="normal" w:required="false" w:groupID="4">
    <w:identifier xml:space="preserve">ID8</w:identifier>
    <w:name xml:space="preserve">Daʼvogarniing elektron manzili </w:name>
    <w:value w:hidden="false">
      <w:unit w:active="false"/>
    </w:value>
  </w:element>
  <w:element w:id="9" w:kind="category" w:type="string" w:valueMode="normal" w:required="false" w:groupID="9">
    <w:identifier xml:space="preserve">ID9</w:identifier>
    <w:name xml:space="preserve">Javobgar</w:name>
    <w:value w:hidden="true">
      <w:unit w:active="false"/>
    </w:value>
  </w:element>
  <w:element w:id="10" w:kind="variable" w:type="string" w:valueMode="normal" w:required="false" w:groupID="9">
    <w:identifier xml:space="preserve">ID10</w:identifier>
    <w:name xml:space="preserve">Javobgar yuridik shaxsning toʻliq nomi  </w:name>
    <w:value w:hidden="false">
      <w:unit w:active="false"/>
    </w:value>
  </w:element>
  <w:element w:id="11" w:kind="variable" w:type="string" w:valueMode="normal" w:required="false" w:groupID="9">
    <w:identifier xml:space="preserve">ID11</w:identifier>
    <w:name xml:space="preserve">Javobgarning manzili </w:name>
    <w:value w:hidden="false">
      <w:unit w:active="false"/>
    </w:value>
  </w:element>
  <w:element w:id="12" w:kind="variable" w:type="string" w:valueMode="normal" w:required="false" w:groupID="9">
    <w:identifier xml:space="preserve">ID12</w:identifier>
    <w:name xml:space="preserve">Javobgarning hisob raqami </w:name>
    <w:value w:hidden="false">
      <w:unit w:active="false"/>
    </w:value>
  </w:element>
  <w:element w:id="13" w:kind="variable" w:type="string" w:valueMode="normal" w:required="false" w:groupID="9">
    <w:identifier xml:space="preserve">ID13</w:identifier>
    <w:name xml:space="preserve"> Javobgarning STIR raqami</w:name>
    <w:value w:hidden="false">
      <w:unit w:active="false"/>
    </w:value>
  </w:element>
  <w:element w:id="14" w:kind="variable" w:type="string" w:valueMode="normal" w:required="false" w:groupID="9">
    <w:identifier xml:space="preserve">ID14</w:identifier>
    <w:name xml:space="preserve">Javobgarning MFO raqami </w:name>
    <w:value w:hidden="false">
      <w:unit w:active="false"/>
    </w:value>
  </w:element>
  <w:element w:id="15" w:kind="variable" w:type="string" w:valueMode="normal" w:required="false" w:groupID="9">
    <w:identifier xml:space="preserve">ID15</w:identifier>
    <w:name xml:space="preserve">Javobgarning OKED raqami </w:name>
    <w:value w:hidden="false">
      <w:unit w:active="false"/>
    </w:value>
  </w:element>
  <w:element w:id="16" w:kind="variable" w:type="string" w:valueMode="normal" w:required="false" w:groupID="9">
    <w:identifier xml:space="preserve">ID16</w:identifier>
    <w:name xml:space="preserve">Javobgarning telefon raqami</w:name>
    <w:value w:hidden="false">
      <w:unit w:active="false"/>
    </w:value>
  </w:element>
  <w:element w:id="17" w:kind="variable" w:type="string" w:valueMode="normal" w:required="false" w:groupID="9">
    <w:identifier xml:space="preserve">ID17</w:identifier>
    <w:name xml:space="preserve">Elektron manzili</w:name>
    <w:value w:hidden="false">
      <w:unit w:active="false"/>
    </w:value>
  </w:element>
  <w:element w:id="18" w:kind="category" w:type="string" w:valueMode="normal" w:required="false" w:groupID="18">
    <w:identifier xml:space="preserve">ID18</w:identifier>
    <w:name xml:space="preserve">Daʼvo ariza mazmuni</w:name>
    <w:value w:hidden="true">
      <w:unit w:active="false"/>
    </w:value>
  </w:element>
  <w:element w:id="19" w:kind="variable" w:type="string" w:valueMode="normal" w:required="false" w:groupID="18">
    <w:identifier xml:space="preserve">ID19</w:identifier>
    <w:name xml:space="preserve">Ishlab chiqarish jarayonida mehnatda shikastlanganlik uchun undirilishi soʻralayotgan summa miqdori</w:name>
    <w:value w:hidden="false">
      <w:unit w:active="false"/>
    </w:value>
  </w:element>
  <w:element w:id="20" w:kind="variable" w:type="string" w:valueMode="normal" w:required="false" w:groupID="18">
    <w:identifier xml:space="preserve">ID20</w:identifier>
    <w:name xml:space="preserve">Daʼvogar egallab turgan vazifasida (lavozimida) qachondan buyon ishlab kelyotganligi </w:name>
    <w:value w:hidden="false">
      <w:unit w:active="false"/>
    </w:value>
  </w:element>
  <w:element w:id="21" w:kind="variable" w:type="string" w:valueMode="normal" w:required="false" w:groupID="18">
    <w:identifier xml:space="preserve">ID21</w:identifier>
    <w:name xml:space="preserve">Javobgar korxona nomi  </w:name>
    <w:value w:hidden="false">
      <w:unit w:active="false"/>
    </w:value>
  </w:element>
  <w:element w:id="22" w:kind="variable" w:type="string" w:valueMode="normal" w:required="false" w:groupID="18">
    <w:identifier xml:space="preserve">ID22</w:identifier>
    <w:name xml:space="preserve">Daʼvogar ishlab kelgan vazifa (lavozim) nomi </w:name>
    <w:value w:hidden="false">
      <w:unit w:active="false"/>
    </w:value>
  </w:element>
  <w:element w:id="23" w:kind="variable" w:type="string" w:valueMode="normal" w:required="false" w:groupID="18">
    <w:identifier xml:space="preserve">ID23</w:identifier>
    <w:name xml:space="preserve"> Ishlab chiqarish jarayonida xodimning sogʻligʻiga zarar yetkazgan baxtsiz xodisa sodir boʻlgan vaqt (kalendar)</w:name>
    <w:value w:hidden="false">
      <w:unit w:active="false"/>
    </w:value>
  </w:element>
  <w:element w:id="24" w:kind="variable" w:type="string" w:valueMode="normal" w:required="false" w:groupID="18">
    <w:identifier xml:space="preserve">ID24</w:identifier>
    <w:name xml:space="preserve">Baxtsiz xodisaning qisqacha mazmuni  </w:name>
    <w:value w:hidden="false">
      <w:unit w:active="false"/>
    </w:value>
  </w:element>
  <w:element w:id="25" w:kind="variable" w:type="string" w:valueMode="normal" w:required="false" w:groupID="18">
    <w:identifier xml:space="preserve">ID25</w:identifier>
    <w:name xml:space="preserve">Baxtsiz hodisa  natijasida mehnat qobiliyatining necha foizi yoʻqotilganligi  </w:name>
    <w:value w:hidden="false">
      <w:unit w:active="false"/>
    </w:value>
  </w:element>
  <w:element w:id="26" w:kind="variable" w:type="string" w:valueMode="normal" w:required="false" w:groupID="18">
    <w:identifier xml:space="preserve">ID26</w:identifier>
    <w:name xml:space="preserve"> Baxtsiz hodisa va uning oqibatlari yuzasidan qanday hujjatlar rasmiylashtirilganligi  </w:name>
    <w:value w:hidden="false">
      <w:unit w:active="false"/>
    </w:value>
  </w:element>
  <w:element w:id="27" w:kind="variable" w:type="string" w:valueMode="normal" w:required="false" w:groupID="18">
    <w:identifier xml:space="preserve">ID27</w:identifier>
    <w:name xml:space="preserve">Sogʻliqqa yetkazilgan zarar toʻlanmasligi sabablari koʻrsatiladi  </w:name>
    <w:value w:hidden="false">
      <w:unit w:active="false"/>
    </w:value>
  </w:element>
  <w:element w:id="28" w:kind="variable" w:type="string" w:valueMode="normal" w:required="false" w:groupID="18">
    <w:identifier xml:space="preserve">ID28</w:identifier>
    <w:name xml:space="preserve">Daʼvogar sogʻligʻiga yetkazilgan zarar soʻmmasi  </w:name>
    <w:value w:hidden="false">
      <w:unit w:active="false"/>
    </w:value>
  </w:element>
  <w:element w:id="29" w:kind="variable" w:type="string" w:valueMode="normal" w:required="false" w:groupID="18">
    <w:identifier xml:space="preserve">ID29</w:identifier>
    <w:name xml:space="preserve">Daʼvo talabiga asos sifatida keltirilgan hujjatlar roʻyxati va ishga oid boshqa holatlar</w:name>
    <w:value w:hidden="false">
      <w:unit w:active="false"/>
    </w:value>
  </w:element>
  <w:element w:id="30" w:kind="variable" w:type="string" w:valueMode="normal" w:required="false" w:groupID="18">
    <w:identifier xml:space="preserve">ID30</w:identifier>
    <w:name xml:space="preserve">Javobgardan undirilishi soʻralayotgan summa </w:name>
    <w:value w:hidden="false">
      <w:unit w:active="false"/>
    </w:value>
  </w:element>
  <w:element w:id="31" w:kind="variable" w:type="string" w:valueMode="normal" w:required="false" w:groupID="18">
    <w:identifier xml:space="preserve">ID31</w:identifier>
    <w:name xml:space="preserve">Daʼvo arizaga ilova qilinayotgan hujjatlar roʻyxati    </w:name>
    <w:value w:hidden="false">
      <w:unit w:active="false"/>
    </w:value>
  </w:element>
</w:structure>
</file>