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50" w:type="dxa"/>
        <w:shd w:fill="ffffff"/>
      </w:tblPr>
      <w:tblGrid>
        <w:gridCol w:w="3707"/>
        <w:gridCol w:w="1353"/>
        <w:gridCol w:w="4390"/>
      </w:tblGrid>
      <w:tr>
        <w:tc>
          <w:tcPr>
            <w:tcW w:w="9450" w:type="dxa"/>
            <w:gridSpan w:val="3"/>
            <w:shd w:fill="ffffff"/>
            <w:tcMar>
              <w:left w:w="15" w:type="dxa"/>
              <w:top w:w="15" w:type="dxa"/>
              <w:right w:w="15" w:type="dxa"/>
              <w:bottom w:w="15" w:type="dxa"/>
            </w:tcMar>
            <w:hideMark/>
          </w:tcPr>
          <w:p>
            <w:pPr>
              <w:jc w:val="both"/>
              <w:ind w:left="5370"/>
              <w:spacing w:before="15" w:after="15" w:line="240" w:lineRule="auto"/>
              <w:rPr>
                <w:color w:val="000000"/>
                <w:sz w:val="24"/>
                <w:rFonts w:ascii="Times New Roman" w:hAnsi="Times New Roman"/>
              </w:rPr>
            </w:pPr>
            <w:r>
              <w:rPr>
                <w:b/>
                <w:color w:val="000000"/>
                <w:sz w:val="24"/>
                <w:rFonts w:ascii="Times New Roman" w:hAnsi="Times New Roman"/>
              </w:rPr>
              <w:t xml:space="preserve">Fuqarolik ishlari bo‘yicha </w:t>
            </w:r>
            <w:r>
              <w:rPr>
                <w:b/>
                <w:vanish w:val="false"/>
                <w:color w:val="000000"/>
                <w:sz w:val="24"/>
                <w:rFonts w:ascii="Times New Roman" w:hAnsi="Times New Roman"/>
              </w:rPr>
              <w:fldChar w:fldCharType="begin"/>
              <w:instrText xml:space="preserve">X {"Y":2}</w:instrText>
              <w:fldChar w:fldCharType="separate"/>
            </w:r>
            <w:r>
              <w:rPr>
                <w:b/>
                <w:vanish w:val="false"/>
                <w:color w:val="000000"/>
                <w:sz w:val="24"/>
                <w:rFonts w:ascii="Times New Roman" w:hAnsi="Times New Roman"/>
              </w:rPr>
              <w:t xml:space="preserve">Daʼvo-ariza berilgan fuqarolik ishlari bo‘yicha sud nomi</w:t>
              <w:fldChar w:fldCharType="end"/>
            </w:r>
            <w:r>
              <w:rPr>
                <w:b/>
                <w:color w:val="000000"/>
                <w:sz w:val="24"/>
                <w:rFonts w:ascii="Times New Roman" w:hAnsi="Times New Roman"/>
              </w:rPr>
              <w:t xml:space="preserve"> sudiga</w:t>
            </w:r>
          </w:p>
          <w:p>
            <w:pPr>
              <w:ind w:left="5370"/>
              <w:spacing w:after="0" w:line="276" w:lineRule="auto"/>
              <w:rPr>
                <w:color w:val="000000"/>
                <w:sz w:val="24"/>
                <w:rFonts w:ascii="Times New Roman" w:hAnsi="Times New Roman"/>
              </w:rPr>
            </w:pPr>
            <w:r>
              <w:rPr>
                <w:color w:val="000000"/>
                <w:sz w:val="24"/>
                <w:rFonts w:ascii="Times New Roman" w:hAnsi="Times New Roman"/>
              </w:rPr>
              <w:t> </w:t>
            </w:r>
          </w:p>
        </w:tc>
      </w:tr>
      <w:tr>
        <w:tc>
          <w:tcPr>
            <w:tcW w:w="3707" w:type="dxa"/>
            <w:shd w:fill="ffffff"/>
            <w:tcMar>
              <w:left w:w="15" w:type="dxa"/>
              <w:top w:w="15" w:type="dxa"/>
              <w:right w:w="15" w:type="dxa"/>
              <w:bottom w:w="15" w:type="dxa"/>
            </w:tcMar>
            <w:hideMark/>
          </w:tcPr>
          <w:p>
            <w:pPr>
              <w:spacing w:after="0" w:line="276" w:lineRule="auto"/>
              <w:rPr>
                <w:color w:val="000000"/>
                <w:sz w:val="24"/>
                <w:rFonts w:ascii="Times New Roman" w:hAnsi="Times New Roman"/>
              </w:rPr>
            </w:pPr>
            <w:r>
              <w:rPr>
                <w:color w:val="000000"/>
                <w:sz w:val="24"/>
                <w:rFonts w:ascii="Times New Roman" w:hAnsi="Times New Roman"/>
              </w:rPr>
              <w:t> </w:t>
            </w:r>
          </w:p>
        </w:tc>
        <w:tc>
          <w:tcPr>
            <w:tcW w:w="1353" w:type="dxa"/>
            <w:shd w:fill="ffffff"/>
            <w:tcMar>
              <w:left w:w="15" w:type="dxa"/>
              <w:top w:w="15" w:type="dxa"/>
              <w:right w:w="15" w:type="dxa"/>
              <w:bottom w:w="15" w:type="dxa"/>
            </w:tcMar>
            <w:hideMark/>
          </w:tcPr>
          <w:p>
            <w:pPr>
              <w:spacing w:after="0" w:line="276" w:lineRule="auto"/>
              <w:rPr>
                <w:color w:val="000000"/>
                <w:sz w:val="24"/>
                <w:rFonts w:ascii="Times New Roman" w:hAnsi="Times New Roman"/>
              </w:rPr>
            </w:pPr>
            <w:r>
              <w:rPr>
                <w:color w:val="000000"/>
                <w:sz w:val="24"/>
                <w:rFonts w:ascii="Times New Roman" w:hAnsi="Times New Roman"/>
              </w:rPr>
              <w:t> </w:t>
            </w:r>
          </w:p>
        </w:tc>
        <w:tc>
          <w:tcPr>
            <w:tcW w:w="4390" w:type="dxa"/>
            <w:shd w:fill="ffffff"/>
            <w:tcMar>
              <w:left w:w="15" w:type="dxa"/>
              <w:top w:w="15" w:type="dxa"/>
              <w:right w:w="15" w:type="dxa"/>
              <w:bottom w:w="15" w:type="dxa"/>
            </w:tcMar>
            <w:hideMark/>
          </w:tcPr>
          <w:p>
            <w:pPr>
              <w:jc w:val="both"/>
              <w:spacing w:after="0" w:line="276" w:lineRule="auto"/>
              <w:rPr>
                <w:sz w:val="24"/>
                <w:rFonts w:ascii="Times New Roman" w:hAnsi="Times New Roman"/>
              </w:rPr>
            </w:pPr>
            <w:r>
              <w:rPr>
                <w:b/>
                <w:sz w:val="24"/>
                <w:rFonts w:ascii="Times New Roman" w:hAnsi="Times New Roman"/>
              </w:rPr>
              <w:t xml:space="preserve">Da’vogar: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Daʼvogarning yashash manzili</w:t>
              <w:fldChar w:fldCharType="end"/>
            </w:r>
            <w:r>
              <w:rPr>
                <w:sz w:val="24"/>
                <w:rFonts w:ascii="Times New Roman" w:hAnsi="Times New Roman"/>
              </w:rPr>
              <w:t xml:space="preserve">da yashovchi</w:t>
            </w:r>
          </w:p>
        </w:tc>
      </w:tr>
      <w:tr>
        <w:tc>
          <w:tcPr>
            <w:tcW w:w="3707" w:type="dxa"/>
            <w:shd w:fill="ffffff"/>
            <w:tcMar>
              <w:left w:w="15" w:type="dxa"/>
              <w:top w:w="15" w:type="dxa"/>
              <w:right w:w="15" w:type="dxa"/>
              <w:bottom w:w="15" w:type="dxa"/>
            </w:tcMar>
            <w:hideMark/>
          </w:tcPr>
          <w:p>
            <w:pPr>
              <w:spacing w:after="0" w:line="276" w:lineRule="auto"/>
              <w:rPr>
                <w:color w:val="000000"/>
                <w:sz w:val="24"/>
                <w:rFonts w:ascii="Times New Roman" w:hAnsi="Times New Roman"/>
              </w:rPr>
            </w:pPr>
            <w:r>
              <w:rPr>
                <w:color w:val="000000"/>
                <w:sz w:val="24"/>
                <w:rFonts w:ascii="Times New Roman" w:hAnsi="Times New Roman"/>
              </w:rPr>
              <w:t> </w:t>
            </w:r>
          </w:p>
        </w:tc>
        <w:tc>
          <w:tcPr>
            <w:tcW w:w="1353" w:type="dxa"/>
            <w:shd w:fill="ffffff"/>
            <w:tcMar>
              <w:left w:w="15" w:type="dxa"/>
              <w:top w:w="15" w:type="dxa"/>
              <w:right w:w="15" w:type="dxa"/>
              <w:bottom w:w="15" w:type="dxa"/>
            </w:tcMar>
            <w:hideMark/>
          </w:tcPr>
          <w:p>
            <w:pPr>
              <w:spacing w:after="0" w:line="276" w:lineRule="auto"/>
              <w:rPr>
                <w:color w:val="000000"/>
                <w:sz w:val="24"/>
                <w:rFonts w:ascii="Times New Roman" w:hAnsi="Times New Roman"/>
              </w:rPr>
            </w:pPr>
            <w:r>
              <w:rPr>
                <w:color w:val="000000"/>
                <w:sz w:val="24"/>
                <w:rFonts w:ascii="Times New Roman" w:hAnsi="Times New Roman"/>
              </w:rPr>
              <w:t> </w:t>
            </w:r>
          </w:p>
        </w:tc>
        <w:tc>
          <w:tcPr>
            <w:tcW w:w="4390" w:type="dxa"/>
            <w:shd w:fill="ffffff"/>
            <w:tcMar>
              <w:left w:w="15" w:type="dxa"/>
              <w:top w:w="15" w:type="dxa"/>
              <w:right w:w="15" w:type="dxa"/>
              <w:bottom w:w="15" w:type="dxa"/>
            </w:tcMar>
            <w:hideMark/>
          </w:tcPr>
          <w:p>
            <w:pPr>
              <w:jc w:val="both"/>
              <w:spacing w:after="0"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Daʼvogarning F.I.O.si</w:t>
              <w:fldChar w:fldCharType="end"/>
            </w:r>
          </w:p>
          <w:p>
            <w:pPr>
              <w:jc w:val="both"/>
              <w:spacing w:after="0" w:line="276" w:lineRule="auto"/>
              <w:rPr>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Daʼvogarning telefon raqamlari</w:t>
              <w:fldChar w:fldCharType="end"/>
            </w:r>
          </w:p>
          <w:p>
            <w:pPr>
              <w:jc w:val="both"/>
              <w:spacing w:after="0" w:line="276" w:lineRule="auto"/>
              <w:rPr>
                <w:sz w:val="24"/>
                <w:rFonts w:ascii="Times New Roman" w:hAnsi="Times New Roman"/>
              </w:rPr>
            </w:pPr>
            <w:r>
              <w:rPr>
                <w:sz w:val="24"/>
                <w:rFonts w:ascii="Times New Roman" w:hAnsi="Times New Roman"/>
              </w:rPr>
              <w:t xml:space="preserve">Elektron pochta manzili: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Daʼvogarning pochta (elektron) manzili</w:t>
              <w:fldChar w:fldCharType="end"/>
            </w:r>
          </w:p>
        </w:tc>
      </w:tr>
      <w:tr>
        <w:tc>
          <w:tcPr>
            <w:tcW w:w="3707" w:type="dxa"/>
            <w:shd w:fill="ffffff"/>
            <w:tcMar>
              <w:left w:w="15" w:type="dxa"/>
              <w:top w:w="15" w:type="dxa"/>
              <w:right w:w="15" w:type="dxa"/>
              <w:bottom w:w="15" w:type="dxa"/>
            </w:tcMar>
            <w:hideMark/>
          </w:tcPr>
          <w:p>
            <w:pPr>
              <w:spacing w:after="0" w:line="276" w:lineRule="auto"/>
              <w:rPr>
                <w:color w:val="000000"/>
                <w:sz w:val="24"/>
                <w:rFonts w:ascii="Times New Roman" w:hAnsi="Times New Roman"/>
              </w:rPr>
            </w:pPr>
            <w:r>
              <w:rPr>
                <w:color w:val="000000"/>
                <w:sz w:val="24"/>
                <w:rFonts w:ascii="Times New Roman" w:hAnsi="Times New Roman"/>
              </w:rPr>
              <w:t> </w:t>
            </w:r>
          </w:p>
        </w:tc>
        <w:tc>
          <w:tcPr>
            <w:tcW w:w="1353" w:type="dxa"/>
            <w:shd w:fill="ffffff"/>
            <w:tcMar>
              <w:left w:w="15" w:type="dxa"/>
              <w:top w:w="15" w:type="dxa"/>
              <w:right w:w="15" w:type="dxa"/>
              <w:bottom w:w="15" w:type="dxa"/>
            </w:tcMar>
            <w:hideMark/>
          </w:tcPr>
          <w:p>
            <w:pPr>
              <w:spacing w:after="0" w:line="276" w:lineRule="auto"/>
              <w:rPr>
                <w:color w:val="000000"/>
                <w:sz w:val="24"/>
                <w:rFonts w:ascii="Times New Roman" w:hAnsi="Times New Roman"/>
              </w:rPr>
            </w:pPr>
            <w:r>
              <w:rPr>
                <w:color w:val="000000"/>
                <w:sz w:val="24"/>
                <w:rFonts w:ascii="Times New Roman" w:hAnsi="Times New Roman"/>
              </w:rPr>
              <w:t> </w:t>
            </w:r>
          </w:p>
        </w:tc>
        <w:tc>
          <w:tcPr>
            <w:tcW w:w="4390" w:type="dxa"/>
            <w:shd w:fill="ffffff"/>
            <w:tcMar>
              <w:left w:w="15" w:type="dxa"/>
              <w:top w:w="15" w:type="dxa"/>
              <w:right w:w="15" w:type="dxa"/>
              <w:bottom w:w="15" w:type="dxa"/>
            </w:tcMar>
            <w:hideMark/>
          </w:tcPr>
          <w:p>
            <w:pPr>
              <w:jc w:val="both"/>
              <w:spacing w:after="0" w:line="276" w:lineRule="auto"/>
              <w:rPr>
                <w:color w:val="000000"/>
                <w:sz w:val="24"/>
                <w:rFonts w:ascii="Times New Roman" w:hAnsi="Times New Roman"/>
              </w:rPr>
            </w:pPr>
            <w:r>
              <w:rPr>
                <w:b/>
                <w:color w:val="000000"/>
                <w:sz w:val="24"/>
                <w:rFonts w:ascii="Times New Roman" w:hAnsi="Times New Roman"/>
              </w:rPr>
              <w:t xml:space="preserve">Javobgar: </w:t>
            </w:r>
            <w:r>
              <w:rPr>
                <w:vanish w:val="false"/>
                <w:color w:val="000000"/>
                <w:sz w:val="24"/>
                <w:rFonts w:ascii="Times New Roman" w:hAnsi="Times New Roman"/>
              </w:rPr>
              <w:fldChar w:fldCharType="begin"/>
              <w:instrText xml:space="preserve">X {"Y":11}</w:instrText>
              <w:fldChar w:fldCharType="separate"/>
            </w:r>
            <w:r>
              <w:rPr>
                <w:vanish w:val="false"/>
                <w:color w:val="000000"/>
                <w:sz w:val="24"/>
                <w:rFonts w:ascii="Times New Roman" w:hAnsi="Times New Roman"/>
              </w:rPr>
              <w:t xml:space="preserve">Javobgarning yashash manzili</w:t>
              <w:fldChar w:fldCharType="end"/>
            </w:r>
            <w:r>
              <w:rPr>
                <w:color w:val="000000"/>
                <w:sz w:val="24"/>
                <w:rFonts w:ascii="Times New Roman" w:hAnsi="Times New Roman"/>
              </w:rPr>
              <w:t xml:space="preserve"> yashovchi </w:t>
            </w:r>
          </w:p>
          <w:p>
            <w:pPr>
              <w:jc w:val="center"/>
              <w:spacing w:after="0" w:line="276"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{"Y":10}</w:instrText>
              <w:fldChar w:fldCharType="separate"/>
            </w:r>
            <w:r>
              <w:rPr>
                <w:vanish w:val="false"/>
                <w:color w:val="000000"/>
                <w:sz w:val="24"/>
                <w:rFonts w:ascii="Times New Roman" w:hAnsi="Times New Roman"/>
              </w:rPr>
              <w:t xml:space="preserve">Javobgarning F.I.O.si</w:t>
              <w:fldChar w:fldCharType="end"/>
            </w:r>
          </w:p>
        </w:tc>
      </w:tr>
      <w:tr>
        <w:tc>
          <w:tcPr>
            <w:tcW w:w="3707" w:type="dxa"/>
            <w:shd w:fill="ffffff"/>
            <w:tcMar>
              <w:left w:w="15" w:type="dxa"/>
              <w:top w:w="15" w:type="dxa"/>
              <w:right w:w="15" w:type="dxa"/>
              <w:bottom w:w="15" w:type="dxa"/>
            </w:tcMar>
            <w:hideMark/>
          </w:tcPr>
          <w:p>
            <w:pPr>
              <w:spacing w:after="0" w:line="276" w:lineRule="auto"/>
              <w:rPr>
                <w:color w:val="000000"/>
                <w:sz w:val="24"/>
                <w:rFonts w:ascii="Times New Roman" w:hAnsi="Times New Roman"/>
              </w:rPr>
            </w:pPr>
            <w:r>
              <w:rPr>
                <w:color w:val="000000"/>
                <w:sz w:val="24"/>
                <w:rFonts w:ascii="Times New Roman" w:hAnsi="Times New Roman"/>
              </w:rPr>
              <w:t> </w:t>
            </w:r>
          </w:p>
        </w:tc>
        <w:tc>
          <w:tcPr>
            <w:tcW w:w="1353" w:type="dxa"/>
            <w:shd w:fill="ffffff"/>
            <w:tcMar>
              <w:left w:w="15" w:type="dxa"/>
              <w:top w:w="15" w:type="dxa"/>
              <w:right w:w="15" w:type="dxa"/>
              <w:bottom w:w="15" w:type="dxa"/>
            </w:tcMar>
            <w:hideMark/>
          </w:tcPr>
          <w:p>
            <w:pPr>
              <w:spacing w:after="0" w:line="276" w:lineRule="auto"/>
              <w:rPr>
                <w:color w:val="000000"/>
                <w:sz w:val="24"/>
                <w:rFonts w:ascii="Times New Roman" w:hAnsi="Times New Roman"/>
              </w:rPr>
            </w:pPr>
            <w:r>
              <w:rPr>
                <w:color w:val="000000"/>
                <w:sz w:val="24"/>
                <w:rFonts w:ascii="Times New Roman" w:hAnsi="Times New Roman"/>
              </w:rPr>
              <w:t> </w:t>
            </w:r>
          </w:p>
        </w:tc>
        <w:tc>
          <w:tcPr>
            <w:tcW w:w="4390" w:type="dxa"/>
            <w:shd w:fill="ffffff"/>
            <w:tcMar>
              <w:left w:w="15" w:type="dxa"/>
              <w:top w:w="15" w:type="dxa"/>
              <w:right w:w="15" w:type="dxa"/>
              <w:bottom w:w="15" w:type="dxa"/>
            </w:tcMar>
            <w:hideMark/>
          </w:tcPr>
          <w:p>
            <w:pPr>
              <w:jc w:val="both"/>
              <w:spacing w:after="0" w:line="276" w:lineRule="auto"/>
              <w:rPr>
                <w:color w:val="000000"/>
                <w:sz w:val="24"/>
                <w:rFonts w:ascii="Times New Roman" w:hAnsi="Times New Roman"/>
              </w:rPr>
            </w:pPr>
            <w:r>
              <w:rPr>
                <w:color w:val="000000"/>
                <w:sz w:val="24"/>
                <w:rFonts w:ascii="Times New Roman" w:hAnsi="Times New Roman"/>
              </w:rPr>
              <w:t xml:space="preserve">Telefon: </w:t>
            </w: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Javobgarning telefon raqami</w:t>
              <w:fldChar w:fldCharType="end"/>
            </w:r>
          </w:p>
          <w:p>
            <w:pPr>
              <w:jc w:val="both"/>
              <w:spacing w:after="0" w:line="276" w:lineRule="auto"/>
              <w:rPr>
                <w:color w:val="000000"/>
                <w:sz w:val="24"/>
                <w:rFonts w:ascii="Times New Roman" w:hAnsi="Times New Roman"/>
              </w:rPr>
            </w:pPr>
            <w:r>
              <w:rPr>
                <w:color w:val="000000"/>
                <w:sz w:val="24"/>
                <w:rFonts w:ascii="Times New Roman" w:hAnsi="Times New Roman"/>
              </w:rPr>
              <w:t xml:space="preserve">Elektron pochta manzili: </w:t>
            </w: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Javobgarning elektron manzili</w:t>
              <w:fldChar w:fldCharType="end"/>
            </w:r>
          </w:p>
          <w:p>
            <w:pPr>
              <w:spacing w:after="0" w:line="276" w:lineRule="auto"/>
              <w:rPr>
                <w:color w:val="000000"/>
                <w:sz w:val="24"/>
                <w:rFonts w:ascii="Times New Roman" w:hAnsi="Times New Roman"/>
              </w:rPr>
            </w:pPr>
            <w:r>
              <w:rPr>
                <w:color w:val="000000"/>
                <w:sz w:val="24"/>
                <w:rFonts w:ascii="Times New Roman" w:hAnsi="Times New Roman"/>
              </w:rPr>
              <w:t> </w:t>
            </w:r>
          </w:p>
        </w:tc>
      </w:tr>
      <w:tr>
        <w:tc>
          <w:tcPr>
            <w:tcW w:w="3707" w:type="dxa"/>
            <w:shd w:fill="ffffff"/>
            <w:tcMar>
              <w:left w:w="15" w:type="dxa"/>
              <w:top w:w="15" w:type="dxa"/>
              <w:right w:w="15" w:type="dxa"/>
              <w:bottom w:w="15" w:type="dxa"/>
            </w:tcMar>
            <w:hideMark/>
          </w:tcPr>
          <w:p>
            <w:pPr>
              <w:spacing w:after="0" w:line="276" w:lineRule="auto"/>
              <w:rPr>
                <w:color w:val="000000"/>
                <w:sz w:val="24"/>
                <w:rFonts w:ascii="Times New Roman" w:hAnsi="Times New Roman"/>
              </w:rPr>
            </w:pPr>
            <w:r>
              <w:rPr>
                <w:color w:val="000000"/>
                <w:sz w:val="24"/>
                <w:rFonts w:ascii="Times New Roman" w:hAnsi="Times New Roman"/>
              </w:rPr>
              <w:t> </w:t>
            </w:r>
          </w:p>
        </w:tc>
        <w:tc>
          <w:tcPr>
            <w:tcW w:w="1353" w:type="dxa"/>
            <w:shd w:fill="ffffff"/>
            <w:tcMar>
              <w:left w:w="15" w:type="dxa"/>
              <w:top w:w="15" w:type="dxa"/>
              <w:right w:w="15" w:type="dxa"/>
              <w:bottom w:w="15" w:type="dxa"/>
            </w:tcMar>
            <w:hideMark/>
          </w:tcPr>
          <w:p>
            <w:pPr>
              <w:spacing w:after="0" w:line="276" w:lineRule="auto"/>
              <w:rPr>
                <w:color w:val="000000"/>
                <w:sz w:val="24"/>
                <w:rFonts w:ascii="Times New Roman" w:hAnsi="Times New Roman"/>
              </w:rPr>
            </w:pPr>
            <w:r>
              <w:rPr>
                <w:color w:val="000000"/>
                <w:sz w:val="24"/>
                <w:rFonts w:ascii="Times New Roman" w:hAnsi="Times New Roman"/>
              </w:rPr>
              <w:t> </w:t>
            </w:r>
          </w:p>
        </w:tc>
        <w:tc>
          <w:tcPr>
            <w:tcW w:w="4390" w:type="dxa"/>
            <w:shd w:fill="ffffff"/>
            <w:tcMar>
              <w:left w:w="15" w:type="dxa"/>
              <w:top w:w="15" w:type="dxa"/>
              <w:right w:w="15" w:type="dxa"/>
              <w:bottom w:w="15" w:type="dxa"/>
            </w:tcMar>
            <w:hideMark/>
          </w:tcPr>
          <w:p>
            <w:pPr>
              <w:jc w:val="center"/>
              <w:spacing w:after="0" w:line="276" w:lineRule="auto"/>
              <w:rPr>
                <w:color w:val="000000"/>
                <w:sz w:val="24"/>
                <w:rFonts w:ascii="Times New Roman" w:hAnsi="Times New Roman"/>
              </w:rPr>
            </w:pPr>
            <w:r>
              <w:rPr>
                <w:color w:val="000000"/>
                <w:sz w:val="24"/>
                <w:rFonts w:ascii="Times New Roman" w:hAnsi="Times New Roman"/>
              </w:rPr>
              <w:t xml:space="preserve"> </w:t>
            </w:r>
          </w:p>
        </w:tc>
      </w:tr>
    </w:tbl>
    <w:p>
      <w:pPr>
        <w:shd w:fill="ffffff"/>
        <w:spacing w:after="0" w:line="276" w:lineRule="auto"/>
        <w:rPr>
          <w:color w:val="000000"/>
          <w:sz w:val="24"/>
          <w:rFonts w:ascii="Times New Roman" w:hAnsi="Times New Roman"/>
        </w:rPr>
      </w:pPr>
      <w:r>
        <w:rPr>
          <w:color w:val="000000"/>
          <w:sz w:val="24"/>
          <w:rFonts w:ascii="Times New Roman" w:hAnsi="Times New Roman"/>
        </w:rPr>
        <w:t> </w:t>
      </w:r>
    </w:p>
    <w:p>
      <w:pPr>
        <w:jc w:val="center"/>
        <w:spacing w:after="0" w:line="276" w:lineRule="auto"/>
        <w:rPr>
          <w:sz w:val="24"/>
          <w:rFonts w:ascii="Times New Roman" w:hAnsi="Times New Roman"/>
        </w:rPr>
      </w:pPr>
      <w:r>
        <w:rPr>
          <w:b/>
          <w:sz w:val="24"/>
          <w:rFonts w:ascii="Times New Roman" w:hAnsi="Times New Roman"/>
        </w:rPr>
        <w:t xml:space="preserve">D A ‘ V O  A R I Z A S I</w:t>
      </w:r>
    </w:p>
    <w:p>
      <w:pPr>
        <w:jc w:val="center"/>
        <w:spacing w:after="0" w:line="276" w:lineRule="auto"/>
        <w:rPr>
          <w:sz w:val="24"/>
          <w:rFonts w:ascii="Times New Roman" w:hAnsi="Times New Roman"/>
        </w:rPr>
      </w:pPr>
      <w:r>
        <w:rPr>
          <w:i/>
          <w:sz w:val="24"/>
          <w:rFonts w:ascii="Times New Roman" w:hAnsi="Times New Roman"/>
        </w:rPr>
        <w:t xml:space="preserve">(Meros bo‘yicha voyaga yetmagan merosxo‘rni ulushlarni belgilash to‘g‘risida)</w:t>
      </w:r>
    </w:p>
    <w:p>
      <w:pPr>
        <w:spacing w:after="0" w:line="276" w:lineRule="auto"/>
        <w:rPr>
          <w:sz w:val="24"/>
          <w:rFonts w:ascii="Times New Roman" w:hAnsi="Times New Roman"/>
        </w:rPr>
      </w:pPr>
      <w:r>
        <w:rPr>
          <w:sz w:val="24"/>
          <w:rFonts w:ascii="Times New Roman" w:hAnsi="Times New Roman"/>
        </w:rPr>
        <w:t> </w:t>
      </w:r>
    </w:p>
    <w:p>
      <w:pPr>
        <w:jc w:val="both"/>
        <w:ind w:firstLine="709"/>
        <w:spacing w:after="0" w:line="276" w:lineRule="auto"/>
        <w:rPr>
          <w:sz w:val="24"/>
          <w:rFonts w:ascii="Times New Roman" w:hAnsi="Times New Roman"/>
        </w:rPr>
      </w:pPr>
      <w:r>
        <w:rPr>
          <w:sz w:val="24"/>
          <w:rFonts w:ascii="Times New Roman" w:hAnsi="Times New Roman"/>
        </w:rPr>
        <w:t xml:space="preserve">Men voyaga yetmaganning ishonchli vakili da’vogar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Daʼvogarning F.I.O.si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Daʼvogar tug‘ilgan sana</w:t>
        <w:fldChar w:fldCharType="end"/>
      </w:r>
      <w:r>
        <w:rPr>
          <w:sz w:val="24"/>
          <w:rFonts w:ascii="Times New Roman" w:hAnsi="Times New Roman"/>
        </w:rPr>
        <w:t xml:space="preserve"> sanasida tug‘ilganman. Otam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Daʼvogarning otasining F.I.O.si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Daʼvogarning otasining tug‘ilgan sanasi</w:t>
        <w:fldChar w:fldCharType="end"/>
      </w:r>
      <w:r>
        <w:rPr>
          <w:sz w:val="24"/>
          <w:rFonts w:ascii="Times New Roman" w:hAnsi="Times New Roman"/>
        </w:rPr>
        <w:t xml:space="preserve"> sanasida tug‘ilib,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Daʼvogarning otasining vafot etgan sanasi</w:t>
        <w:fldChar w:fldCharType="end"/>
      </w:r>
      <w:r>
        <w:rPr>
          <w:sz w:val="24"/>
          <w:rFonts w:ascii="Times New Roman" w:hAnsi="Times New Roman"/>
        </w:rPr>
        <w:t xml:space="preserve"> sanasida vafot etgan, onam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Daʼvogarning onasining F.I.O.si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Daʼvogarning onasi tug‘ilgan sana</w:t>
        <w:fldChar w:fldCharType="end"/>
      </w:r>
      <w:r>
        <w:rPr>
          <w:sz w:val="24"/>
          <w:rFonts w:ascii="Times New Roman" w:hAnsi="Times New Roman"/>
        </w:rPr>
        <w:t xml:space="preserve">   sanasida</w:t>
      </w:r>
      <w:r>
        <w:rPr>
          <w:i/>
          <w:sz w:val="24"/>
          <w:rFonts w:ascii="Times New Roman" w:hAnsi="Times New Roman"/>
        </w:rPr>
        <w:t xml:space="preserve"> </w:t>
      </w:r>
      <w:r>
        <w:rPr>
          <w:sz w:val="24"/>
          <w:rFonts w:ascii="Times New Roman" w:hAnsi="Times New Roman"/>
        </w:rPr>
        <w:t xml:space="preserve">tug‘ilib,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Daʼvogarning onasi vafot etgan sana</w:t>
        <w:fldChar w:fldCharType="end"/>
      </w:r>
      <w:r>
        <w:rPr>
          <w:sz w:val="24"/>
          <w:rFonts w:ascii="Times New Roman" w:hAnsi="Times New Roman"/>
        </w:rPr>
        <w:t xml:space="preserve">    sanasida vafot etganlar. Ota-onam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Daʼvogarning ota-onasi nikohdan o‘tgan sana</w:t>
        <w:fldChar w:fldCharType="end"/>
      </w:r>
      <w:r>
        <w:rPr>
          <w:sz w:val="24"/>
          <w:rFonts w:ascii="Times New Roman" w:hAnsi="Times New Roman"/>
        </w:rPr>
        <w:t xml:space="preserve"> sanasida qonuniy nikohdan o‘tishib, ular birgalikdagi turmushlaridan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Daʼvogarning ota-onasining farzandlari soni</w:t>
        <w:fldChar w:fldCharType="end"/>
      </w:r>
      <w:r>
        <w:rPr>
          <w:sz w:val="24"/>
          <w:rFonts w:ascii="Times New Roman" w:hAnsi="Times New Roman"/>
        </w:rPr>
        <w:t xml:space="preserve"> nafar ya’ni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Daʼvogarning ota-onasining barcha farzandlarining F.I.Sh.lari</w:t>
        <w:fldChar w:fldCharType="end"/>
      </w:r>
      <w:r>
        <w:rPr>
          <w:sz w:val="24"/>
          <w:rFonts w:ascii="Times New Roman" w:hAnsi="Times New Roman"/>
        </w:rPr>
        <w:t xml:space="preserve"> farzandli bo‘lishgan.</w:t>
      </w:r>
    </w:p>
    <w:p>
      <w:pPr>
        <w:jc w:val="both"/>
        <w:ind w:firstLine="709"/>
        <w:spacing w:after="0" w:line="276" w:lineRule="auto"/>
        <w:rPr>
          <w:sz w:val="24"/>
          <w:rFonts w:ascii="Times New Roman" w:hAnsi="Times New Roman"/>
        </w:rPr>
      </w:pPr>
      <w:r>
        <w:rPr>
          <w:sz w:val="24"/>
          <w:rFonts w:ascii="Times New Roman" w:hAnsi="Times New Roman"/>
        </w:rPr>
        <w:t xml:space="preserve">Ota-onamizdan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Daʼvogarning ota-onasidan meros sifatida qolgan uy-joy joylashgan manzil</w:t>
        <w:fldChar w:fldCharType="end"/>
      </w:r>
      <w:r>
        <w:rPr>
          <w:sz w:val="24"/>
          <w:rFonts w:ascii="Times New Roman" w:hAnsi="Times New Roman"/>
        </w:rPr>
        <w:t xml:space="preserve"> manzilda joylashgan uy-joy biz farzandlarga meros bo‘lib qolgan. </w:t>
      </w:r>
    </w:p>
    <w:p>
      <w:pPr>
        <w:jc w:val="both"/>
        <w:ind w:firstLine="709"/>
        <w:spacing w:after="0" w:line="276" w:lineRule="auto"/>
        <w:rPr>
          <w:sz w:val="24"/>
          <w:rFonts w:ascii="Times New Roman" w:hAnsi="Times New Roman"/>
        </w:rPr>
      </w:pPr>
      <w:r>
        <w:rPr>
          <w:sz w:val="24"/>
          <w:rFonts w:ascii="Times New Roman" w:hAnsi="Times New Roman"/>
        </w:rPr>
        <w:t xml:space="preserve">Ota-onamning vafotidan so‘ng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Daʼvogar meros ulushini belgilash to‘g‘risida notarial idoraga murojaat qilgan sana</w:t>
        <w:fldChar w:fldCharType="end"/>
      </w:r>
      <w:r>
        <w:rPr>
          <w:sz w:val="24"/>
          <w:rFonts w:ascii="Times New Roman" w:hAnsi="Times New Roman"/>
        </w:rPr>
        <w:t xml:space="preserve"> sanasida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Daʼvogar meros ulushini belgilash to‘g‘risida murojaat qilgan notarial idora (xususiy notarius)ning nomi</w:t>
        <w:fldChar w:fldCharType="end"/>
      </w:r>
      <w:r>
        <w:rPr>
          <w:sz w:val="24"/>
          <w:rFonts w:ascii="Times New Roman" w:hAnsi="Times New Roman"/>
        </w:rPr>
        <w:t xml:space="preserve"> notarial idorasiga meros bo‘yicha ulushlarimizni belgilab berishni so‘rab murojaat qilganman. Biroq, notarial idora merosxo‘rlarni chaqirib ularning fikrini so‘raganida, merosxo‘rlardan biri ya’ni javobgar Javobgarning F.I.O.si norozilik bildirganligi sababli notarius meros bo‘yicha ulushlarni belgilab bera olmasligini, merosxo‘rlar o‘rtasidan nizo borligini aytib notarial harakatni amalga oshirishni rad qilish to‘g‘risida qaror chiqarib berdi.</w:t>
      </w:r>
    </w:p>
    <w:p>
      <w:pPr>
        <w:jc w:val="both"/>
        <w:ind w:firstLine="709"/>
        <w:spacing w:after="0" w:line="276" w:lineRule="auto"/>
        <w:rPr>
          <w:sz w:val="24"/>
          <w:rFonts w:ascii="Times New Roman" w:hAnsi="Times New Roman"/>
        </w:rPr>
      </w:pPr>
      <w:r>
        <w:rPr>
          <w:sz w:val="24"/>
          <w:rFonts w:ascii="Times New Roman" w:hAnsi="Times New Roman"/>
        </w:rPr>
        <w:t xml:space="preserve">Javobgar Javobgarning F.I.O.sidan boshqa barcha merosxo‘rlar meros mulki bo‘yicha o‘z ulushlariga rozi. </w:t>
      </w:r>
    </w:p>
    <w:p>
      <w:pPr>
        <w:jc w:val="both"/>
        <w:ind w:firstLine="709"/>
        <w:spacing w:after="0" w:line="276" w:lineRule="auto"/>
        <w:rPr>
          <w:sz w:val="24"/>
          <w:rFonts w:ascii="Times New Roman" w:hAnsi="Times New Roman"/>
        </w:rPr>
      </w:pPr>
      <w:r>
        <w:rPr>
          <w:sz w:val="24"/>
          <w:rFonts w:ascii="Times New Roman" w:hAnsi="Times New Roman"/>
        </w:rPr>
        <w:t xml:space="preserve">O‘zbekiston Respublikasi FKning 1134-moddasiga ko‘ra, qonun bo‘yicha merosxo‘rlar vorislikka ushbu Kodeksning 1135 ––1141-moddalarida nazarda tutilgan navbat tartibida chaqiriladilar.</w:t>
      </w:r>
    </w:p>
    <w:p>
      <w:pPr>
        <w:jc w:val="both"/>
        <w:ind w:firstLine="708"/>
        <w:spacing w:after="0" w:line="276" w:lineRule="auto"/>
        <w:rPr>
          <w:sz w:val="24"/>
          <w:rFonts w:ascii="Times New Roman" w:hAnsi="Times New Roman"/>
        </w:rPr>
      </w:pPr>
      <w:r>
        <w:rPr>
          <w:sz w:val="24"/>
          <w:rFonts w:ascii="Times New Roman" w:hAnsi="Times New Roman"/>
        </w:rPr>
        <w:t xml:space="preserve">Shu Kodeksning 1135-moddasiga ko‘ra, meros qoldiruvchining bolalari (shu jumladan farzandlikka olingan bolalari), eri (xotini) va ota-onasi (farzandlikka oluvchilar) teng ulushlarda qonun bo‘yicha birinchi navbatdagi vorislik huquqiga ega bo‘ladilar. Meros qoldiruvchining vafotidan keyin tug‘ilgan bolalari ham birinchi navbatdagi vorislar jumlasiga kiradilar.</w:t>
      </w:r>
    </w:p>
    <w:p>
      <w:pPr>
        <w:jc w:val="both"/>
        <w:ind w:firstLine="709"/>
        <w:spacing w:after="0" w:line="276" w:lineRule="auto"/>
        <w:rPr>
          <w:sz w:val="24"/>
          <w:rFonts w:ascii="Times New Roman" w:hAnsi="Times New Roman"/>
        </w:rPr>
      </w:pPr>
      <w:r>
        <w:rPr>
          <w:sz w:val="24"/>
          <w:rFonts w:ascii="Times New Roman" w:hAnsi="Times New Roman"/>
        </w:rPr>
        <w:t xml:space="preserve">Shuningdek, ushbu kodeksning 1145-moddasiga ko‘ra,</w:t>
      </w:r>
      <w:r>
        <w:rPr>
          <w:b/>
          <w:sz w:val="24"/>
          <w:rFonts w:ascii="Times New Roman" w:hAnsi="Times New Roman"/>
        </w:rPr>
        <w:t xml:space="preserve"> </w:t>
      </w:r>
      <w:r>
        <w:rPr>
          <w:sz w:val="24"/>
          <w:rFonts w:ascii="Times New Roman" w:hAnsi="Times New Roman"/>
        </w:rPr>
        <w:t xml:space="preserve">merosxo‘r o‘ziga tegishi lozim bo‘lgan merosni yoki uning bir qismini (ulushini) olish huquqiga, agar u keyinchalik merosdan voz kechmasa, vorislik huquqidan mahrum etilmasa va uni merosxo‘r etib tayinlash to‘g‘risidagi vasiyat farmoyishi haqiqiy emas deb topilishi natijasida meros olish huquqini yo‘qotmasa, meros ochilgan vaqtdan e’tiboran ega bo‘ladi.</w:t>
      </w:r>
    </w:p>
    <w:p>
      <w:pPr>
        <w:jc w:val="both"/>
        <w:ind w:firstLine="851"/>
        <w:spacing w:after="0" w:line="276" w:lineRule="auto"/>
        <w:rPr>
          <w:sz w:val="24"/>
          <w:rFonts w:ascii="Times New Roman" w:hAnsi="Times New Roman"/>
        </w:rPr>
      </w:pPr>
      <w:r>
        <w:rPr>
          <w:sz w:val="24"/>
          <w:rFonts w:ascii="Times New Roman" w:hAnsi="Times New Roman"/>
        </w:rPr>
        <w:t xml:space="preserve">Bundan tashqari, mazkur kodeksning 1150-moddasida</w:t>
      </w:r>
      <w:r>
        <w:rPr>
          <w:b/>
          <w:sz w:val="24"/>
          <w:rFonts w:ascii="Times New Roman" w:hAnsi="Times New Roman"/>
        </w:rPr>
        <w:t xml:space="preserve"> </w:t>
      </w:r>
      <w:r>
        <w:rPr>
          <w:sz w:val="24"/>
          <w:rFonts w:ascii="Times New Roman" w:hAnsi="Times New Roman"/>
        </w:rPr>
        <w:t xml:space="preserve">merosni qabul qilib olgan qonun bo‘yicha merosxo‘rlardan istalgan biri merosning taqsimlanishini talab qilishga haqli. Merosni taqsimlash merosxo‘rlarning kelishuviga ko‘ra o‘zlariga tegishli ulushlarga muvofiq, kelishuvga erishilmagan taqdirda esa, sud tartibida amalga oshiriladi.</w:t>
      </w:r>
    </w:p>
    <w:p>
      <w:pPr>
        <w:jc w:val="both"/>
        <w:ind w:firstLine="709"/>
        <w:spacing w:after="0" w:line="276" w:lineRule="auto"/>
        <w:rPr>
          <w:sz w:val="24"/>
          <w:rFonts w:ascii="Times New Roman" w:hAnsi="Times New Roman"/>
        </w:rPr>
      </w:pPr>
      <w:r>
        <w:rPr>
          <w:sz w:val="24"/>
          <w:rFonts w:ascii="Times New Roman" w:hAnsi="Times New Roman"/>
        </w:rPr>
        <w:t xml:space="preserve">Yuqoridagilarga ko‘ra, O‘zbekiston Respublikasi Fuqarolik protsessual kodeksining 188-191-moddalariga, Fuqarolik kodeksining 1135-1141, 1145 hamda 1150-moddalariga asosan, </w:t>
      </w:r>
    </w:p>
    <w:p>
      <w:pPr>
        <w:spacing w:after="0" w:line="276" w:lineRule="auto"/>
        <w:rPr>
          <w:sz w:val="24"/>
          <w:rFonts w:ascii="Times New Roman" w:hAnsi="Times New Roman"/>
        </w:rPr>
      </w:pPr>
      <w:r>
        <w:rPr>
          <w:sz w:val="24"/>
          <w:rFonts w:ascii="Times New Roman" w:hAnsi="Times New Roman"/>
        </w:rPr>
        <w:t> </w:t>
      </w:r>
    </w:p>
    <w:p>
      <w:pPr>
        <w:jc w:val="center"/>
        <w:spacing w:after="0" w:line="276" w:lineRule="auto"/>
        <w:rPr>
          <w:sz w:val="24"/>
          <w:rFonts w:ascii="Times New Roman" w:hAnsi="Times New Roman"/>
        </w:rPr>
      </w:pPr>
      <w:r>
        <w:rPr>
          <w:b/>
          <w:sz w:val="24"/>
          <w:rFonts w:ascii="Times New Roman" w:hAnsi="Times New Roman"/>
        </w:rPr>
        <w:t>SO‘RAYMAN:</w:t>
      </w:r>
    </w:p>
    <w:p>
      <w:pPr>
        <w:spacing w:after="0" w:line="276" w:lineRule="auto"/>
        <w:rPr>
          <w:sz w:val="24"/>
          <w:rFonts w:ascii="Times New Roman" w:hAnsi="Times New Roman"/>
        </w:rPr>
      </w:pPr>
      <w:r>
        <w:rPr>
          <w:sz w:val="24"/>
          <w:rFonts w:ascii="Times New Roman" w:hAnsi="Times New Roman"/>
        </w:rPr>
        <w:t> </w:t>
      </w:r>
    </w:p>
    <w:p>
      <w:pPr>
        <w:jc w:val="both"/>
        <w:ind w:firstLine="709"/>
        <w:spacing w:after="0" w:line="276" w:lineRule="auto"/>
        <w:rPr>
          <w:sz w:val="24"/>
          <w:rFonts w:ascii="Times New Roman" w:hAnsi="Times New Roman"/>
        </w:rPr>
      </w:pPr>
      <w:r>
        <w:rPr>
          <w:sz w:val="24"/>
          <w:rFonts w:ascii="Times New Roman" w:hAnsi="Times New Roman"/>
        </w:rPr>
        <w:t xml:space="preserve">Marhum ota-onamning Da’vogarning ota-onasidan meros sifatida qolgan uy-joy joylashgan manzil manzilida joylashgan uy-joyiga nisbatan Da’vogarning ota-onasining barcha farzandlarining F.I.Shlarilarni teng ulushlarda merosxo‘r deb topib, meros bo‘yicha ulushlarimizni belgilab berishingizni; </w:t>
      </w:r>
    </w:p>
    <w:p>
      <w:pPr>
        <w:spacing w:after="0" w:line="276" w:lineRule="auto"/>
        <w:rPr>
          <w:sz w:val="24"/>
          <w:rFonts w:ascii="Times New Roman" w:hAnsi="Times New Roman"/>
        </w:rPr>
      </w:pPr>
      <w:r>
        <w:rPr>
          <w:sz w:val="24"/>
          <w:rFonts w:ascii="Times New Roman" w:hAnsi="Times New Roman"/>
        </w:rPr>
        <w:t> </w:t>
      </w:r>
    </w:p>
    <w:p>
      <w:pPr>
        <w:jc w:val="both"/>
        <w:spacing w:after="0" w:line="276" w:lineRule="auto"/>
        <w:rPr>
          <w:sz w:val="24"/>
          <w:rFonts w:ascii="Times New Roman" w:hAnsi="Times New Roman"/>
        </w:rPr>
      </w:pPr>
      <w:r>
        <w:rPr>
          <w:b/>
          <w:sz w:val="24"/>
          <w:rFonts w:ascii="Times New Roman" w:hAnsi="Times New Roman"/>
        </w:rPr>
        <w:t>Ilova:</w:t>
      </w:r>
    </w:p>
    <w:p>
      <w:pPr>
        <w:jc w:val="both"/>
        <w:ind w:firstLine="567"/>
        <w:spacing w:after="0" w:line="276" w:lineRule="auto"/>
        <w:rPr>
          <w:sz w:val="24"/>
          <w:rFonts w:ascii="Times New Roman" w:hAnsi="Times New Roman"/>
        </w:rPr>
      </w:pP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Daʼvo arizaga ilova qilinayotgan hujjatlar ro‘yxati</w:t>
        <w:fldChar w:fldCharType="end"/>
      </w:r>
      <w:r>
        <w:rPr>
          <w:sz w:val="24"/>
          <w:rFonts w:ascii="Times New Roman" w:hAnsi="Times New Roman"/>
        </w:rPr>
        <w:t xml:space="preserve">   </w:t>
      </w:r>
    </w:p>
    <w:p>
      <w:pPr>
        <w:spacing w:after="0" w:line="276" w:lineRule="auto"/>
        <w:rPr>
          <w:sz w:val="24"/>
          <w:rFonts w:ascii="Times New Roman" w:hAnsi="Times New Roman"/>
        </w:rPr>
      </w:pPr>
      <w:r>
        <w:rPr>
          <w:sz w:val="24"/>
          <w:rFonts w:ascii="Times New Roman" w:hAnsi="Times New Roman"/>
        </w:rPr>
        <w:t> </w:t>
      </w:r>
    </w:p>
    <w:p>
      <w:pPr>
        <w:jc w:val="both"/>
        <w:ind w:firstLine="284"/>
        <w:spacing w:after="0" w:line="276" w:lineRule="auto"/>
        <w:rPr>
          <w:sz w:val="24"/>
          <w:rFonts w:ascii="Times New Roman" w:hAnsi="Times New Roman"/>
        </w:rPr>
      </w:pPr>
      <w:r>
        <w:rPr>
          <w:b/>
          <w:sz w:val="24"/>
          <w:rFonts w:ascii="Times New Roman" w:hAnsi="Times New Roman"/>
        </w:rPr>
        <w:t xml:space="preserve">Da’vogar </w:t>
      </w:r>
      <w:r>
        <w:rPr>
          <w:b/>
          <w:vanish w:val="false"/>
          <w:sz w:val="24"/>
          <w:rFonts w:ascii="Times New Roman" w:hAnsi="Times New Roman"/>
        </w:rPr>
        <w:fldChar w:fldCharType="begin"/>
        <w:instrText xml:space="preserve">X {"Y":6}</w:instrText>
        <w:fldChar w:fldCharType="separate"/>
      </w:r>
      <w:r>
        <w:rPr>
          <w:b/>
          <w:vanish w:val="false"/>
          <w:sz w:val="24"/>
          <w:rFonts w:ascii="Times New Roman" w:hAnsi="Times New Roman"/>
        </w:rPr>
        <w:t xml:space="preserve">Daʼvogarning F.I.O.si</w:t>
        <w:fldChar w:fldCharType="end"/>
      </w:r>
      <w:r>
        <w:rPr>
          <w:b/>
          <w:sz w:val="24"/>
          <w:rFonts w:ascii="Times New Roman" w:hAnsi="Times New Roman"/>
        </w:rPr>
        <w:t xml:space="preserve"> </w:t>
      </w:r>
    </w:p>
    <w:p>
      <w:pPr>
        <w:spacing w:after="0" w:line="276" w:lineRule="auto"/>
        <w:rPr>
          <w:sz w:val="24"/>
          <w:rFonts w:ascii="Times New Roman" w:hAnsi="Times New Roman"/>
        </w:rPr>
      </w:pPr>
      <w:r>
        <w:rPr>
          <w:sz w:val="24"/>
          <w:rFonts w:ascii="Times New Roman" w:hAnsi="Times New Roman"/>
        </w:rPr>
        <w:t> </w:t>
      </w:r>
    </w:p>
    <w:p>
      <w:pPr>
        <w:jc w:val="right"/>
        <w:spacing w:after="0" w:line="276" w:lineRule="auto"/>
        <w:rPr>
          <w:sz w:val="24"/>
          <w:rFonts w:ascii="Times New Roman" w:hAnsi="Times New Roman"/>
        </w:rPr>
      </w:pPr>
      <w:r>
        <w:rPr>
          <w:b/>
          <w:vanish w:val="false"/>
          <w:sz w:val="24"/>
          <w:rFonts w:ascii="Times New Roman" w:hAnsi="Times New Roman"/>
        </w:rPr>
        <w:fldChar w:fldCharType="begin"/>
        <w:instrText xml:space="preserve">X {"Y":3}</w:instrText>
        <w:fldChar w:fldCharType="separate"/>
      </w:r>
      <w:r>
        <w:rPr>
          <w:b/>
          <w:vanish w:val="false"/>
          <w:sz w:val="24"/>
          <w:rFonts w:ascii="Times New Roman" w:hAnsi="Times New Roman"/>
        </w:rPr>
        <w:t xml:space="preserve">Ariza berilgan sana</w:t>
        <w:fldChar w:fldCharType="end"/>
      </w:r>
      <w:r>
        <w:rPr>
          <w:b/>
          <w:sz w:val="24"/>
          <w:rFonts w:ascii="Times New Roman" w:hAnsi="Times New Roman"/>
        </w:rPr>
        <w:t xml:space="preserve"> </w:t>
      </w:r>
    </w:p>
    <w:p>
      <w:pPr>
        <w:spacing w:after="0" w:line="276" w:lineRule="auto"/>
        <w:rPr>
          <w:sz w:val="24"/>
        </w:rPr>
      </w:pPr>
    </w:p>
    <w:p>
      <w:pPr>
        <w:spacing w:after="0" w:line="276" w:lineRule="auto"/>
        <w:rPr>
          <w:sz w:val="24"/>
        </w:rPr>
      </w:pPr>
    </w:p>
    <w:p>
      <w:pPr>
        <w:spacing w:after="0" w:line="276" w:lineRule="auto"/>
        <w:rPr>
          <w:sz w:val="24"/>
        </w:rPr>
      </w:pPr>
    </w:p>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5F7"/>
    <w:rsid w:val="000053BF"/>
    <w:rsid w:val="0054416A"/>
    <w:rsid w:val="008A3739"/>
    <w:rsid w:val="00970FF9"/>
    <w:rsid w:val="00AB51DC"/>
    <w:rsid w:val="00C675F7"/>
    <w:rsid w:val="00EC6A4C"/>
    <w:rsid w:val="00F414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81E6F"/>
  <w15:chartTrackingRefBased/>
  <w15:docId w15:val="{FDA53ACE-5B1F-4C48-BF8B-A0152590A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373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37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733</Words>
  <Characters>4183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2023-03-17T12:14:00Z</dcterms:created>
  <dcterms:modified xsi:type="dcterms:W3CDTF">2023-03-17T12:14:00Z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Daʼvo-ariza berilgan fuqarolik ishlari bo‘yicha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comment xml:space="preserve">Izoh: Viloyat, tuman (shahar), mahalla, ko‘cha nomi va uy raqami Daʼvogarning telefon raqami</w:comment>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manzili</w:name>
    <w:value w:hidden="false">
      <w:unit w:active="false"/>
    </w:value>
  </w:element>
  <w:element w:id="14" w:kind="category" w:selector="check" w:type="string" w:valueMode="normal" w:required="false">
    <w:identifier xml:space="preserve">ID14</w:identifier>
    <w:name xml:space="preserve">Ariza mazmuni</w:name>
    <w:value w:hidden="true">
      <w:unit w:active="false"/>
    </w:value>
  </w:element>
  <w:element w:id="15" w:kind="variable" w:selector="check" w:type="string" w:valueMode="normal" w:required="false" w:groupID="14">
    <w:identifier xml:space="preserve">ID15</w:identifier>
    <w:name xml:space="preserve">Daʼvogar tug‘ilgan sana</w:name>
    <w:value w:hidden="false">
      <w:unit w:active="false"/>
    </w:value>
  </w:element>
  <w:element w:id="16" w:kind="variable" w:selector="check" w:type="string" w:valueMode="normal" w:required="false" w:groupID="14">
    <w:identifier xml:space="preserve">ID16</w:identifier>
    <w:name xml:space="preserve">Daʼvogarning otasining F.I.O.si</w:name>
    <w:value w:hidden="false">
      <w:unit w:active="false"/>
    </w:value>
  </w:element>
  <w:element w:id="17" w:kind="variable" w:selector="check" w:type="string" w:valueMode="normal" w:required="false" w:groupID="14">
    <w:identifier xml:space="preserve">ID17</w:identifier>
    <w:name xml:space="preserve">Daʼvogarning otasining tug‘ilgan sanasi</w:name>
    <w:value w:hidden="false">
      <w:unit w:active="false"/>
    </w:value>
  </w:element>
  <w:element w:id="18" w:kind="variable" w:selector="check" w:type="string" w:valueMode="normal" w:required="false" w:groupID="14">
    <w:identifier xml:space="preserve">ID18</w:identifier>
    <w:name xml:space="preserve">Daʼvogarning otasining vafot etgan sanasi</w:name>
    <w:value w:hidden="false">
      <w:unit w:active="false"/>
    </w:value>
  </w:element>
  <w:element w:id="19" w:kind="variable" w:selector="check" w:type="string" w:valueMode="normal" w:required="false" w:groupID="14">
    <w:identifier xml:space="preserve">ID19</w:identifier>
    <w:name xml:space="preserve">Daʼvogarning onasining F.I.O.si</w:name>
    <w:value w:hidden="false">
      <w:unit w:active="false"/>
    </w:value>
  </w:element>
  <w:element w:id="20" w:kind="variable" w:selector="check" w:type="string" w:valueMode="normal" w:required="false" w:groupID="14">
    <w:identifier xml:space="preserve">ID20</w:identifier>
    <w:name xml:space="preserve">Daʼvogarning onasi tug‘ilgan sana</w:name>
    <w:value w:hidden="false">
      <w:unit w:active="false"/>
    </w:value>
  </w:element>
  <w:element w:id="21" w:kind="variable" w:selector="check" w:type="string" w:valueMode="normal" w:required="false" w:groupID="14">
    <w:identifier xml:space="preserve">ID21</w:identifier>
    <w:name xml:space="preserve">Daʼvogarning onasi vafot etgan sana</w:name>
    <w:value w:hidden="false">
      <w:unit w:active="false"/>
    </w:value>
  </w:element>
  <w:element w:id="22" w:kind="variable" w:selector="check" w:type="string" w:valueMode="normal" w:required="false" w:groupID="14">
    <w:identifier xml:space="preserve">ID22</w:identifier>
    <w:name xml:space="preserve">Daʼvogarning ota-onasi nikohdan o‘tgan sana</w:name>
    <w:value w:hidden="false">
      <w:unit w:active="false"/>
    </w:value>
  </w:element>
  <w:element w:id="23" w:kind="variable" w:selector="check" w:type="string" w:valueMode="normal" w:required="false" w:groupID="14">
    <w:identifier xml:space="preserve">ID23</w:identifier>
    <w:name xml:space="preserve">Daʼvogarning ota-onasining farzandlari soni</w:name>
    <w:value w:hidden="false">
      <w:unit w:active="false"/>
    </w:value>
  </w:element>
  <w:element w:id="24" w:kind="variable" w:selector="check" w:type="string" w:valueMode="normal" w:required="false" w:groupID="14">
    <w:identifier xml:space="preserve">ID24</w:identifier>
    <w:name xml:space="preserve">Daʼvogarning ota-onasining barcha farzandlarining F.I.Sh.lari</w:name>
    <w:value w:hidden="false">
      <w:unit w:active="false"/>
    </w:value>
  </w:element>
  <w:element w:id="25" w:kind="variable" w:selector="check" w:type="string" w:valueMode="normal" w:required="false" w:groupID="14">
    <w:identifier xml:space="preserve">ID25</w:identifier>
    <w:name xml:space="preserve">Daʼvogarning ota-onasidan meros sifatida qolgan uy-joy joylashgan manzil</w:name>
    <w:value w:hidden="false">
      <w:unit w:active="false"/>
    </w:value>
  </w:element>
  <w:element w:id="26" w:kind="variable" w:selector="check" w:type="string" w:valueMode="normal" w:required="false" w:groupID="14">
    <w:identifier xml:space="preserve">ID26</w:identifier>
    <w:name xml:space="preserve">Daʼvogar meros ulushini belgilash to‘g‘risida notarial idoraga murojaat qilgan sana</w:name>
    <w:value w:hidden="false">
      <w:unit w:active="false"/>
    </w:value>
  </w:element>
  <w:element w:id="27" w:kind="variable" w:selector="check" w:type="string" w:valueMode="normal" w:required="false" w:groupID="14">
    <w:identifier xml:space="preserve">ID27</w:identifier>
    <w:name xml:space="preserve">Daʼvogar meros ulushini belgilash to‘g‘risida murojaat qilgan notarial idora (xususiy notarius)ning nomi</w:name>
    <w:value w:hidden="false">
      <w:unit w:active="false"/>
    </w:value>
  </w:element>
  <w:element w:id="28" w:kind="variable" w:selector="check" w:type="string" w:valueMode="normal" w:required="false" w:groupID="14">
    <w:identifier xml:space="preserve">ID28</w:identifier>
    <w:name xml:space="preserve">Daʼvo arizaga ilova qilinayotgan hujjatlar ro‘yxati</w:name>
    <w:value w:hidden="false">
      <w:unit w:active="false"/>
    </w:value>
  </w:element>
</w:structure>
</file>