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hd w:fill="ffffff"/>
        <w:spacing w:line="276" w:lineRule="auto"/>
        <w:rPr>
          <w:b/>
          <w:color w:val="000000"/>
        </w:rPr>
      </w:pPr>
    </w:p>
    <w:p>
      <w:pPr>
        <w:jc w:val="center"/>
        <w:shd w:fill="ffffff"/>
        <w:spacing w:line="276" w:lineRule="auto"/>
        <w:rPr>
          <w:color w:val="000000"/>
        </w:rPr>
      </w:pPr>
      <w:r>
        <w:rPr>
          <w:b/>
          <w:color w:val="000000"/>
        </w:rPr>
        <w:t xml:space="preserve">Mikromoliyaviy xizmatlar koʻrsatish</w:t>
        <w:br/>
        <w:t>shartnomasi</w:t>
      </w:r>
    </w:p>
    <w:p>
      <w:pPr>
        <w:shd w:fill="ffffff"/>
        <w:spacing w:line="276" w:lineRule="auto"/>
        <w:rPr>
          <w:color w:val="000000"/>
        </w:rPr>
      </w:pPr>
      <w:r>
        <w:rPr>
          <w:color w:val="000000"/>
        </w:rPr>
        <w:t> </w:t>
      </w:r>
    </w:p>
    <w:tbl>
      <w:tblPr>
        <w:tblStyle w:val="a6"/>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0"/>
        <w:gridCol w:w="3278"/>
        <w:gridCol w:w="2977"/>
      </w:tblGrid>
      <w:tr>
        <w:tc>
          <w:tcPr>
            <w:tcW w:w="1657" w:type="pct"/>
          </w:tcPr>
          <w:p>
            <w:pPr>
              <w:spacing w:line="276" w:lineRule="auto"/>
              <w:rPr>
                <w:color w:val="000000"/>
              </w:rPr>
            </w:pPr>
            <w:r>
              <w:rPr>
                <w:vanish w:val="false"/>
                <w:color w:val="000000"/>
                <w:rFonts w:ascii="Times New Roman" w:hAnsi="Times New Roman"/>
              </w:rPr>
              <w:fldChar w:fldCharType="begin"/>
              <w:instrText xml:space="preserve">X {"Y":2}</w:instrText>
              <w:fldChar w:fldCharType="separate"/>
              <w:t xml:space="preserve">Shartnoma tuzilgan sana</w:t>
            </w:r>
            <w:r>
              <w:rPr>
                <w:vanish w:val="false"/>
                <w:color w:val="000000"/>
                <w:rFonts w:ascii="Times New Roman" w:hAnsi="Times New Roman"/>
              </w:rPr>
              <w:fldChar w:fldCharType="end"/>
            </w:r>
            <w:r>
              <w:rPr>
                <w:color w:val="000000"/>
              </w:rPr>
              <w:t xml:space="preserve"> </w:t>
            </w:r>
          </w:p>
        </w:tc>
        <w:tc>
          <w:tcPr>
            <w:tcW w:w="1752" w:type="pct"/>
          </w:tcPr>
          <w:p>
            <w:pPr>
              <w:jc w:val="center"/>
              <w:spacing w:line="276" w:lineRule="auto"/>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p>
        </w:tc>
        <w:tc>
          <w:tcPr>
            <w:tcW w:w="1591" w:type="pct"/>
          </w:tcPr>
          <w:p>
            <w:pPr>
              <w:jc w:val="right"/>
              <w:spacing w:line="276" w:lineRule="auto"/>
              <w:rPr>
                <w:color w:val="000000"/>
              </w:rPr>
            </w:pPr>
            <w:r>
              <w:rPr>
                <w:vanish w:val="false"/>
                <w:color w:val="000000"/>
                <w:rFonts w:ascii="Times New Roman" w:hAnsi="Times New Roman"/>
              </w:rPr>
              <w:fldChar w:fldCharType="begin"/>
              <w:instrText xml:space="preserve">X {"Y":4}</w:instrText>
              <w:fldChar w:fldCharType="separate"/>
              <w:t xml:space="preserve">Shartnoma tuzilgan hudud</w:t>
            </w:r>
            <w:r>
              <w:rPr>
                <w:vanish w:val="false"/>
                <w:color w:val="000000"/>
                <w:rFonts w:ascii="Times New Roman" w:hAnsi="Times New Roman"/>
              </w:rPr>
              <w:fldChar w:fldCharType="end"/>
            </w:r>
          </w:p>
        </w:tc>
      </w:tr>
    </w:tbl>
    <w:p>
      <w:pPr>
        <w:shd w:fill="ffffff"/>
        <w:spacing w:line="276" w:lineRule="auto"/>
        <w:rPr>
          <w:color w:val="000000"/>
        </w:rPr>
      </w:pPr>
      <w:r>
        <w:rPr>
          <w:color w:val="000000"/>
        </w:rPr>
        <w:t> </w:t>
      </w:r>
    </w:p>
    <w:p>
      <w:pPr>
        <w:jc w:val="both"/>
        <w:shd w:fill="ffffff"/>
        <w:ind w:firstLine="426"/>
        <w:rPr>
          <w:color w:val="000000"/>
        </w:rPr>
      </w:pPr>
      <w:r>
        <w:rPr>
          <w:vanish w:val="false"/>
          <w:color w:val="000000"/>
          <w:rFonts w:ascii="Times New Roman" w:hAnsi="Times New Roman"/>
        </w:rPr>
        <w:fldChar w:fldCharType="begin"/>
        <w:instrText xml:space="preserve">X {"Y":6}</w:instrText>
        <w:fldChar w:fldCharType="separate"/>
        <w:t xml:space="preserve">Buyurtmachining to‘liq nomi</w:t>
      </w:r>
      <w:r>
        <w:rPr>
          <w:vanish w:val="false"/>
          <w:color w:val="000000"/>
          <w:rFonts w:ascii="Times New Roman" w:hAnsi="Times New Roman"/>
        </w:rPr>
        <w:fldChar w:fldCharType="end"/>
      </w:r>
      <w:r>
        <w:rPr>
          <w:color w:val="000000"/>
        </w:rPr>
        <w:t xml:space="preserve">, keyingi oʻrinlarda “</w:t>
      </w:r>
      <w:r>
        <w:rPr>
          <w:b/>
          <w:color w:val="000000"/>
        </w:rPr>
        <w:t>Buyurtmachi</w:t>
      </w:r>
      <w:r>
        <w:rPr>
          <w:color w:val="000000"/>
        </w:rPr>
        <w:t xml:space="preserve">” deb yuritiladi, </w:t>
      </w:r>
      <w:r>
        <w:rPr>
          <w:vanish w:val="false"/>
          <w:color w:val="000000"/>
          <w:rFonts w:ascii="Times New Roman" w:hAnsi="Times New Roman"/>
        </w:rPr>
        <w:fldChar w:fldCharType="begin"/>
        <w:instrText xml:space="preserve">X {"Y":7}</w:instrText>
        <w:fldChar w:fldCharType="separate"/>
        <w:t xml:space="preserve">Buyurtmachining ustav, nizom yoki ishonchnomasi raqami va berilgan vaqti</w:t>
      </w:r>
      <w:r>
        <w:rPr>
          <w:vanish w:val="false"/>
          <w:color w:val="000000"/>
          <w:rFonts w:ascii="Times New Roman" w:hAnsi="Times New Roman"/>
        </w:rPr>
        <w:fldChar w:fldCharType="end"/>
      </w:r>
      <w:r>
        <w:rPr>
          <w:color w:val="000000"/>
        </w:rPr>
        <w:t xml:space="preserve"> asosida ish yurituvchi </w:t>
      </w:r>
      <w:r>
        <w:rPr>
          <w:vanish w:val="false"/>
          <w:color w:val="000000"/>
          <w:rFonts w:ascii="Times New Roman" w:hAnsi="Times New Roman"/>
        </w:rPr>
        <w:fldChar w:fldCharType="begin"/>
        <w:instrText xml:space="preserve">X {"Y":8}</w:instrText>
        <w:fldChar w:fldCharType="separate"/>
        <w:t xml:space="preserve">Buyurtmachining lavozimi va F.I.Sh.i</w:t>
      </w:r>
      <w:r>
        <w:rPr>
          <w:vanish w:val="false"/>
          <w:color w:val="000000"/>
          <w:rFonts w:ascii="Times New Roman" w:hAnsi="Times New Roman"/>
        </w:rPr>
        <w:fldChar w:fldCharType="end"/>
      </w:r>
      <w:r>
        <w:rPr>
          <w:color w:val="000000"/>
        </w:rPr>
        <w:t xml:space="preserve">, bir tomondan, va </w:t>
      </w:r>
      <w:r>
        <w:rPr>
          <w:vanish w:val="false"/>
          <w:color w:val="000000"/>
          <w:rFonts w:ascii="Times New Roman" w:hAnsi="Times New Roman"/>
        </w:rPr>
        <w:fldChar w:fldCharType="begin"/>
        <w:instrText xml:space="preserve">X {"Y":15}</w:instrText>
        <w:fldChar w:fldCharType="separate"/>
        <w:t xml:space="preserve">Ijrochining to‘liq nomi</w:t>
      </w:r>
      <w:r>
        <w:rPr>
          <w:vanish w:val="false"/>
          <w:color w:val="000000"/>
          <w:rFonts w:ascii="Times New Roman" w:hAnsi="Times New Roman"/>
        </w:rPr>
        <w:fldChar w:fldCharType="end"/>
      </w:r>
      <w:r>
        <w:rPr>
          <w:color w:val="000000"/>
        </w:rPr>
        <w:t xml:space="preserve">, bundan keyin “</w:t>
      </w:r>
      <w:r>
        <w:rPr>
          <w:b/>
          <w:color w:val="000000"/>
        </w:rPr>
        <w:t>Ijrochi</w:t>
      </w:r>
      <w:r>
        <w:rPr>
          <w:color w:val="000000"/>
        </w:rPr>
        <w:t xml:space="preserve">” deb yuritiladi, </w:t>
      </w:r>
      <w:r>
        <w:rPr>
          <w:vanish w:val="false"/>
          <w:color w:val="000000"/>
          <w:rFonts w:ascii="Times New Roman" w:hAnsi="Times New Roman"/>
        </w:rPr>
        <w:fldChar w:fldCharType="begin"/>
        <w:instrText xml:space="preserve">X {"Y":16}</w:instrText>
        <w:fldChar w:fldCharType="separate"/>
        <w:t xml:space="preserve">Ijrochining ustav, nizom yoki ishonchnomasi raqami va berilgan vaqti</w:t>
      </w:r>
      <w:r>
        <w:rPr>
          <w:vanish w:val="false"/>
          <w:color w:val="000000"/>
          <w:rFonts w:ascii="Times New Roman" w:hAnsi="Times New Roman"/>
        </w:rPr>
        <w:fldChar w:fldCharType="end"/>
      </w:r>
      <w:r>
        <w:rPr>
          <w:color w:val="000000"/>
        </w:rPr>
        <w:t xml:space="preserve"> asosida ish yurituvchi </w:t>
      </w:r>
      <w:r>
        <w:rPr>
          <w:vanish w:val="false"/>
          <w:color w:val="000000"/>
          <w:rFonts w:ascii="Times New Roman" w:hAnsi="Times New Roman"/>
        </w:rPr>
        <w:fldChar w:fldCharType="begin"/>
        <w:instrText xml:space="preserve">X {"Y":17}</w:instrText>
        <w:fldChar w:fldCharType="separate"/>
        <w:t xml:space="preserve">Ijrochi vakilining lavozimi va F.I.Sh.i</w:t>
      </w:r>
      <w:r>
        <w:rPr>
          <w:vanish w:val="false"/>
          <w:color w:val="000000"/>
          <w:rFonts w:ascii="Times New Roman" w:hAnsi="Times New Roman"/>
        </w:rPr>
        <w:fldChar w:fldCharType="end"/>
      </w:r>
      <w:r>
        <w:rPr>
          <w:color w:val="000000"/>
        </w:rPr>
        <w:t xml:space="preserve">, ikkinchi tomondan, keyingi oʻrinlarda birgalikda “Tomonlar”, yakka holda “Tomon” deb ataladi, ushbu shartnomani (keyingi oʻrinlarda — Shartnoma deb yuritiladi) quyidagicha tuzdilar:</w:t>
      </w:r>
    </w:p>
    <w:p>
      <w:pPr>
        <w:jc w:val="both"/>
        <w:shd w:fill="ffffff"/>
        <w:ind w:firstLine="426"/>
        <w:spacing w:line="276" w:lineRule="auto"/>
        <w:rPr>
          <w:color w:val="000000"/>
        </w:rPr>
      </w:pPr>
    </w:p>
    <w:p>
      <w:pPr>
        <w:jc w:val="both"/>
        <w:shd w:fill="ffffff"/>
        <w:spacing w:line="276" w:lineRule="auto"/>
        <w:rPr>
          <w:color w:val="000000"/>
        </w:rPr>
      </w:pPr>
    </w:p>
    <w:p>
      <w:pPr>
        <w:jc w:val="center"/>
        <w:shd w:fill="ffffff"/>
        <w:spacing w:line="276" w:lineRule="auto"/>
        <w:rPr>
          <w:color w:val="000000"/>
        </w:rPr>
      </w:pPr>
      <w:r>
        <w:rPr>
          <w:b/>
          <w:color w:val="000000"/>
        </w:rPr>
        <w:t xml:space="preserve">I. SHARTNOMA PREDMETI</w:t>
      </w:r>
    </w:p>
    <w:p>
      <w:pPr>
        <w:jc w:val="both"/>
        <w:shd w:fill="ffffff"/>
        <w:ind w:firstLine="426"/>
        <w:spacing w:line="276" w:lineRule="auto"/>
        <w:rPr>
          <w:color w:val="000000"/>
        </w:rPr>
      </w:pPr>
      <w:r>
        <w:rPr>
          <w:color w:val="000000"/>
        </w:rPr>
        <w:t xml:space="preserve">1.1. “Ijrochi” “Buyurtmachi”ning topshirigʻi bilan ushbu shartnomada kelishilgan va koʻrsatilgan mikromoliyaviy xizmatlarni koʻrsatishni (bajarishni), “Buyurtmachi” esa koʻrsatilgan xizmatlar va ishlar uchun shartnoma shartlarida koʻrsatilgan tartibda amaldagi qonunchilik boʻyicha haq toʻlash majburiyatini oladi.</w:t>
      </w:r>
    </w:p>
    <w:p>
      <w:pPr>
        <w:jc w:val="both"/>
        <w:shd w:fill="ffffff"/>
        <w:ind w:firstLine="426"/>
        <w:spacing w:line="276" w:lineRule="auto"/>
        <w:rPr>
          <w:color w:val="000000"/>
        </w:rPr>
      </w:pPr>
      <w:r>
        <w:rPr>
          <w:color w:val="000000"/>
        </w:rPr>
        <w:t xml:space="preserve">1.2. Ushbu shartnomaga koʻra “Ijrochi” tomonidan koʻrsatiladigan xizmatlari:</w:t>
      </w:r>
    </w:p>
    <w:p>
      <w:pPr>
        <w:jc w:val="both"/>
        <w:shd w:fill="ffffff"/>
        <w:ind w:firstLine="426"/>
        <w:spacing w:line="276" w:lineRule="auto"/>
        <w:rPr>
          <w:color w:val="000000"/>
        </w:rPr>
      </w:pPr>
      <w:r>
        <w:rPr>
          <w:color w:val="000000"/>
        </w:rPr>
        <w:t xml:space="preserve">1.2.1. “Ijrochi” “Buyurtmachi” tomonidan soʻralgan </w:t>
      </w:r>
      <w:r>
        <w:rPr>
          <w:vanish w:val="false"/>
          <w:color w:val="000000"/>
          <w:rFonts w:ascii="Times New Roman" w:hAnsi="Times New Roman"/>
        </w:rPr>
        <w:fldChar w:fldCharType="begin"/>
        <w:instrText xml:space="preserve">X {"Y":26}</w:instrText>
        <w:fldChar w:fldCharType="separate"/>
        <w:t xml:space="preserve">Mikromoliyaviy xizmatning turi va tavsifi</w:t>
      </w:r>
      <w:r>
        <w:rPr>
          <w:vanish w:val="false"/>
          <w:color w:val="000000"/>
          <w:rFonts w:ascii="Times New Roman" w:hAnsi="Times New Roman"/>
        </w:rPr>
        <w:fldChar w:fldCharType="end"/>
      </w:r>
      <w:r>
        <w:rPr>
          <w:color w:val="000000"/>
        </w:rPr>
        <w:t xml:space="preserve"> xizmatlarni bajarish majburiyatini oladi.</w:t>
      </w:r>
    </w:p>
    <w:p>
      <w:pPr>
        <w:jc w:val="both"/>
        <w:shd w:fill="ffffff"/>
        <w:ind w:firstLine="426"/>
        <w:spacing w:line="276" w:lineRule="auto"/>
        <w:rPr>
          <w:color w:val="000000"/>
        </w:rPr>
      </w:pPr>
      <w:r>
        <w:rPr>
          <w:color w:val="000000"/>
        </w:rPr>
        <w:t xml:space="preserve">1.2.2.“Ijrochi” shartnomada belgilangan mikromoliyaviy xizmatlar holati va bajarilyoatgan ishlar haqida “Buyurtmachi”ni xabardor qilib turadi.</w:t>
      </w:r>
    </w:p>
    <w:p>
      <w:pPr>
        <w:jc w:val="both"/>
        <w:shd w:fill="ffffff"/>
        <w:ind w:firstLine="426"/>
        <w:spacing w:line="276" w:lineRule="auto"/>
        <w:rPr>
          <w:color w:val="000000"/>
        </w:rPr>
      </w:pPr>
      <w:r>
        <w:rPr>
          <w:color w:val="000000"/>
        </w:rPr>
        <w:t xml:space="preserve">1.3. Xizmatlar koʻrsatish muddati:</w:t>
      </w:r>
    </w:p>
    <w:p>
      <w:pPr>
        <w:jc w:val="both"/>
        <w:shd w:fill="ffffff"/>
        <w:ind w:firstLine="426"/>
        <w:spacing w:line="276" w:lineRule="auto"/>
        <w:rPr>
          <w:color w:val="000000"/>
        </w:rPr>
      </w:pPr>
      <w:r>
        <w:rPr>
          <w:color w:val="000000"/>
        </w:rPr>
        <w:t xml:space="preserve">1.3.1. “Ijrochi” tomonidan </w:t>
      </w:r>
      <w:r>
        <w:rPr>
          <w:vanish w:val="false"/>
          <w:color w:val="000000"/>
          <w:rFonts w:ascii="Times New Roman" w:hAnsi="Times New Roman"/>
        </w:rPr>
        <w:fldChar w:fldCharType="begin"/>
        <w:instrText xml:space="preserve">X {"Y":26}</w:instrText>
        <w:fldChar w:fldCharType="separate"/>
        <w:t xml:space="preserve">Mikromoliyaviy xizmatning turi va tavsifi</w:t>
      </w:r>
      <w:r>
        <w:rPr>
          <w:vanish w:val="false"/>
          <w:color w:val="000000"/>
          <w:rFonts w:ascii="Times New Roman" w:hAnsi="Times New Roman"/>
        </w:rPr>
        <w:fldChar w:fldCharType="end"/>
      </w:r>
      <w:r>
        <w:rPr>
          <w:color w:val="000000"/>
        </w:rPr>
        <w:t xml:space="preserve">_ xizmatlari </w:t>
      </w:r>
      <w:r>
        <w:rPr>
          <w:vanish w:val="false"/>
          <w:color w:val="000000"/>
          <w:rFonts w:ascii="Times New Roman" w:hAnsi="Times New Roman"/>
        </w:rPr>
        <w:fldChar w:fldCharType="begin"/>
        <w:instrText xml:space="preserve">X {"Y":27}</w:instrText>
        <w:fldChar w:fldCharType="separate"/>
        <w:t xml:space="preserve">Mikromoliyaviy xizmatlar ko‘rsatish muddati</w:t>
      </w:r>
      <w:r>
        <w:rPr>
          <w:vanish w:val="false"/>
          <w:color w:val="000000"/>
          <w:rFonts w:ascii="Times New Roman" w:hAnsi="Times New Roman"/>
        </w:rPr>
        <w:fldChar w:fldCharType="end"/>
      </w:r>
      <w:r>
        <w:rPr>
          <w:color w:val="000000"/>
        </w:rPr>
        <w:t xml:space="preserve"> muddati davomida koʻrsatiladi.</w:t>
      </w:r>
    </w:p>
    <w:p>
      <w:pPr>
        <w:jc w:val="both"/>
        <w:shd w:fill="ffffff"/>
        <w:spacing w:line="276" w:lineRule="auto"/>
        <w:rPr>
          <w:color w:val="000000"/>
        </w:rPr>
      </w:pPr>
    </w:p>
    <w:p>
      <w:pPr>
        <w:pStyle w:val="a5"/>
        <w:jc w:val="center"/>
        <w:shd w:fill="ffffff"/>
        <w:ind w:firstLine="708"/>
        <w:spacing w:before="0" w:after="0" w:line="276" w:lineRule="auto"/>
        <w:rPr>
          <w:color w:val="000000"/>
          <w:sz w:val="28"/>
          <w:rFonts w:ascii="Times New Roman" w:hAnsi="Times New Roman"/>
        </w:rPr>
      </w:pPr>
      <w:r>
        <w:rPr>
          <w:b/>
          <w:color w:val="000000"/>
          <w:sz w:val="28"/>
        </w:rPr>
        <w:t xml:space="preserve">II. TOMONLARNING MAJBURIYATLARI.</w:t>
      </w:r>
    </w:p>
    <w:p>
      <w:pPr>
        <w:pStyle w:val="a3"/>
        <w:shd w:fill="ffffff"/>
        <w:ind w:firstLine="426"/>
        <w:spacing w:before="0" w:after="0" w:line="276" w:lineRule="auto"/>
        <w:rPr>
          <w:color w:val="000000"/>
          <w:sz w:val="28"/>
          <w:rFonts w:ascii="Times New Roman" w:hAnsi="Times New Roman"/>
        </w:rPr>
      </w:pPr>
      <w:r>
        <w:rPr>
          <w:color w:val="000000"/>
          <w:sz w:val="28"/>
        </w:rPr>
        <w:t> </w:t>
      </w:r>
      <w:r>
        <w:rPr>
          <w:b/>
          <w:color w:val="000000"/>
          <w:sz w:val="28"/>
        </w:rPr>
        <w:t xml:space="preserve">2.1. Buyurtmachining majburiyatlari: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2.1.1. Mikromoliyaviy xizmatlar va unga hisoblangan foizlarni ushbu shartnomaning ajralmas qismi hisoblangan ilovaga muvofiq Mikromoliyaviy xizmatlarni soʻndirish jadvalida belgilangan muddatlarda toʻlash;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2.1.2. Mikromoliyaviy xizmatlardan foydalanish davomida mikromoliyaviy xizmatlarning asosiy tamoyillari: muddatlilik, qaytarishlilik, toʻlovlilikka hamda taʼminlanganlikka rioya qilish;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2.1.3. Ijrochiga yashash manzilini, telefon raqamlarini (uyali, uy, ish) elektron pochta manzili haqidagi haqiqiy maʼlumotlarni taqdim etish;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2.1.4. Mazkur shartnomada belgilangan majburiyatlarini bajarilishiga salbiy taʼsir koʻrsatadigan holatlar toʻgʻrisida yozma shaklda yoki oʻzlari uchun maqbul boʻlgan boshqa aloqa kanallari orqali 5 (besh) kun ichida Ijrochiga xabar berish. Ushbu talab bajarilmasligi oqibatida kelib chiqqan salbiy holatlarga Buyurtmachi javobgar hisoblanadi;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2.1.5. Mikromoliyaviy xizmatlarni koʻrsatish jadvalidagidan ortiqcha toʻlangan mablagʻ kelgusi davrlardagi asosiy qarzni soʻndirishga rejalashtirilgan boʻlsa, u holda toʻlov amalga oshirilgan kundan kechiktirmay Ijrochiga bu haqida yozma yoki shaxsiy kabineti orqali murojaat qilish;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2.1.6. Shaxsiy bank kartasini Ijrochining masofaviy bank xizmatlari dasturlariga ulash.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2.1.7. </w:t>
      </w:r>
      <w:r>
        <w:rPr>
          <w:vanish w:val="false"/>
          <w:color w:val="000000"/>
          <w:sz w:val="28"/>
          <w:rFonts w:ascii="Times New Roman" w:hAnsi="Times New Roman"/>
        </w:rPr>
        <w:fldChar w:fldCharType="begin"/>
        <w:instrText xml:space="preserve">X {"Y":28}</w:instrText>
        <w:fldChar w:fldCharType="separate"/>
        <w:t xml:space="preserve">Buyurtmachining boshqa majburiyatlari</w:t>
      </w:r>
      <w:r>
        <w:rPr>
          <w:vanish w:val="false"/>
          <w:color w:val="000000"/>
          <w:sz w:val="28"/>
          <w:rFonts w:ascii="Times New Roman" w:hAnsi="Times New Roman"/>
        </w:rPr>
        <w:fldChar w:fldCharType="end"/>
      </w:r>
    </w:p>
    <w:p>
      <w:pPr>
        <w:pStyle w:val="a3"/>
        <w:shd w:fill="ffffff"/>
        <w:ind w:firstLine="426"/>
        <w:spacing w:before="0" w:after="0" w:line="276" w:lineRule="auto"/>
        <w:rPr>
          <w:color w:val="000000"/>
          <w:sz w:val="28"/>
          <w:rFonts w:ascii="Times New Roman" w:hAnsi="Times New Roman"/>
        </w:rPr>
      </w:pPr>
      <w:r>
        <w:rPr>
          <w:b/>
          <w:color w:val="000000"/>
          <w:sz w:val="28"/>
        </w:rPr>
        <w:t xml:space="preserve">2.2. Ijrochining majburiyatlari: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2.2.1. Buyurtmachining huquq va majburiyatlari toʻgʻrisida, shu jumladan Mikromoliyaviy xizmatlar koʻrsatish bilan bogʻliq barcha xarajatlar haqida Buyurtmachiga ishonchli hamda toʻliq axborotni taqdim qilish;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2.2.2. Shartnomaning taʼminotga oid shartlari bajarilgach uch ish kunida Mikromoliyaviy xizmatlarni koʻrsatishni amalga oshirishni boshlash;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2.2.3. Shartnoma boʻyicha Buyurtmachidan majburiyatlari bajarilmasligi sabablari, holati, muddati, summalari, tarkibi haqida soʻrash, shuningdek majburiyatlar buzilgani uchun neustoyka qoʻllanishi natijasida xarajatlar summasi ortishi ehtimoli haqida ogohlantirish;</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2.2.4. Shartnoma boʻyicha muddati oʻtkazib yuborilgan qarzdorlik yuzaga kelganda, Buyurtmachi bilan har qanday aloqani bogʻlash usullaridan, shu jumladan elektron aloqa vositalaridan yoki boshqa usullardan foydalanib, Buyurtmachiga muddati oʻtkazib yuborilgan qarzdorlik yuzaga kelganligi haqida xabar berish;</w:t>
      </w:r>
    </w:p>
    <w:p>
      <w:pPr>
        <w:pStyle w:val="a3"/>
        <w:jc w:val="both"/>
        <w:shd w:fill="ffffff"/>
        <w:ind w:firstLine="284"/>
        <w:spacing w:before="0" w:after="0" w:line="276" w:lineRule="auto"/>
        <w:rPr>
          <w:color w:val="000000"/>
          <w:sz w:val="28"/>
          <w:rFonts w:ascii="Times New Roman" w:hAnsi="Times New Roman"/>
        </w:rPr>
      </w:pPr>
      <w:r>
        <w:rPr>
          <w:color w:val="000000"/>
          <w:sz w:val="28"/>
        </w:rPr>
        <w:t xml:space="preserve">2.2.5. Ushbu shartnoma va qonunchilik hujjatlaridagi boshqa majburiyatlar.</w:t>
      </w:r>
    </w:p>
    <w:p>
      <w:pPr>
        <w:pStyle w:val="a3"/>
        <w:jc w:val="both"/>
        <w:shd w:fill="ffffff"/>
        <w:ind w:firstLine="284"/>
        <w:spacing w:before="0" w:after="0" w:line="276" w:lineRule="auto"/>
        <w:rPr>
          <w:color w:val="000000"/>
          <w:sz w:val="28"/>
          <w:rFonts w:ascii="Times New Roman" w:hAnsi="Times New Roman"/>
        </w:rPr>
      </w:pPr>
      <w:r>
        <w:rPr>
          <w:color w:val="000000"/>
          <w:sz w:val="28"/>
        </w:rPr>
        <w:t xml:space="preserve">2.2.6. </w:t>
      </w:r>
      <w:r>
        <w:rPr>
          <w:vanish w:val="false"/>
          <w:color w:val="000000"/>
          <w:sz w:val="28"/>
          <w:rFonts w:ascii="Times New Roman" w:hAnsi="Times New Roman"/>
        </w:rPr>
        <w:fldChar w:fldCharType="begin"/>
        <w:instrText xml:space="preserve">X {"Y":29}</w:instrText>
        <w:fldChar w:fldCharType="separate"/>
        <w:t xml:space="preserve">Ijrochining boshqa majburiyatlari</w:t>
      </w:r>
      <w:r>
        <w:rPr>
          <w:vanish w:val="false"/>
          <w:color w:val="000000"/>
          <w:sz w:val="28"/>
          <w:rFonts w:ascii="Times New Roman" w:hAnsi="Times New Roman"/>
        </w:rPr>
        <w:fldChar w:fldCharType="end"/>
      </w:r>
    </w:p>
    <w:p>
      <w:pPr>
        <w:pStyle w:val="a3"/>
        <w:shd w:fill="ffffff"/>
        <w:spacing w:before="0" w:after="0" w:line="276" w:lineRule="auto"/>
        <w:rPr>
          <w:b/>
          <w:color w:val="000000"/>
          <w:sz w:val="28"/>
          <w:rFonts w:ascii="Times New Roman" w:hAnsi="Times New Roman"/>
        </w:rPr>
      </w:pPr>
      <w:r>
        <w:rPr>
          <w:color w:val="000000"/>
          <w:sz w:val="28"/>
        </w:rPr>
        <w:t> </w:t>
      </w:r>
    </w:p>
    <w:p>
      <w:pPr>
        <w:jc w:val="center"/>
        <w:shd w:fill="ffffff"/>
        <w:spacing w:line="276" w:lineRule="auto"/>
        <w:rPr>
          <w:color w:val="000000"/>
        </w:rPr>
      </w:pPr>
      <w:r>
        <w:rPr>
          <w:b/>
          <w:color w:val="000000"/>
        </w:rPr>
        <w:t xml:space="preserve">III. NIZOLARNI HAL ETISH TARTIBI</w:t>
      </w:r>
    </w:p>
    <w:p>
      <w:pPr>
        <w:jc w:val="both"/>
        <w:shd w:fill="ffffff"/>
        <w:ind w:firstLine="426"/>
        <w:spacing w:line="276" w:lineRule="auto"/>
        <w:rPr>
          <w:color w:val="000000"/>
        </w:rPr>
      </w:pPr>
      <w:r>
        <w:rPr>
          <w:color w:val="000000"/>
        </w:rPr>
        <w:t xml:space="preserve">3.1. Ushbu shartnomani bajarish chogʻida va bajarilmasligi oqibatida yuzaga kelishi mumkin boʻlgan nizolar hamda kelishmovchiliklar Taraflar oʻrtasidagi muzokaralar yoʻli bilan hal etiladi.</w:t>
      </w:r>
    </w:p>
    <w:p>
      <w:pPr>
        <w:jc w:val="both"/>
        <w:shd w:fill="ffffff"/>
        <w:ind w:firstLine="426"/>
        <w:spacing w:line="276" w:lineRule="auto"/>
        <w:rPr>
          <w:color w:val="000000"/>
        </w:rPr>
      </w:pPr>
      <w:r>
        <w:rPr>
          <w:color w:val="000000"/>
        </w:rPr>
        <w:t xml:space="preserve">3.2. Nizolarni muzokaralar yoʻli bilan hal etishning imkoni boʻlmagan taqdirda Taraflar kelishmovchiliklarni sudgacha tartibga solishning amaldagi qonunchilik hujjatlarida nazarda tutilgan tartibotini amalga oshirganlaridan soʻng ularni koʻrib chiqish va hal qilish uchun tegishlilik hamda taalluqliligi boʻyicha Sudga murojaat etadi.</w:t>
      </w:r>
    </w:p>
    <w:p>
      <w:pPr>
        <w:jc w:val="both"/>
        <w:shd w:fill="ffffff"/>
        <w:spacing w:line="276" w:lineRule="auto"/>
        <w:rPr>
          <w:color w:val="000000"/>
        </w:rPr>
      </w:pPr>
    </w:p>
    <w:p>
      <w:pPr>
        <w:jc w:val="center"/>
        <w:shd w:fill="ffffff"/>
        <w:spacing w:line="276" w:lineRule="auto"/>
        <w:rPr>
          <w:color w:val="000000"/>
        </w:rPr>
      </w:pPr>
      <w:r>
        <w:rPr>
          <w:b/>
          <w:color w:val="000000"/>
        </w:rPr>
        <w:t xml:space="preserve">IV. SHARTNOMANING AMAL QILISH MUDDATI</w:t>
      </w:r>
    </w:p>
    <w:p>
      <w:pPr>
        <w:jc w:val="both"/>
        <w:shd w:fill="ffffff"/>
        <w:ind w:firstLine="426"/>
        <w:spacing w:line="276" w:lineRule="auto"/>
        <w:rPr>
          <w:color w:val="000000"/>
        </w:rPr>
      </w:pPr>
      <w:r>
        <w:rPr>
          <w:color w:val="000000"/>
        </w:rPr>
        <w:t xml:space="preserve">4.1. Mazkur shartnoma taraflar tomonidan imzolangan vaqtdan boshlab qonuniy kuchga kiradi va Shartnomani amal qilish muddati kuniga qadar amal qiladi.</w:t>
      </w:r>
    </w:p>
    <w:p>
      <w:pPr>
        <w:jc w:val="both"/>
        <w:shd w:fill="ffffff"/>
        <w:spacing w:line="276" w:lineRule="auto"/>
        <w:rPr>
          <w:color w:val="000000"/>
        </w:rPr>
      </w:pPr>
    </w:p>
    <w:p>
      <w:pPr>
        <w:jc w:val="center"/>
        <w:shd w:fill="ffffff"/>
        <w:spacing w:line="276" w:lineRule="auto"/>
        <w:rPr>
          <w:b/>
          <w:color w:val="000000"/>
        </w:rPr>
      </w:pPr>
      <w:r>
        <w:rPr>
          <w:b/>
          <w:color w:val="000000"/>
        </w:rPr>
        <w:t xml:space="preserve">V. SHARTNOMANI OʻZGARTIRISH VA BEKOR QILISH TARTIBI.</w:t>
      </w:r>
    </w:p>
    <w:p>
      <w:pPr>
        <w:jc w:val="both"/>
        <w:shd w:fill="ffffff"/>
        <w:ind w:firstLine="426"/>
        <w:spacing w:line="276" w:lineRule="auto"/>
        <w:rPr>
          <w:color w:val="000000"/>
        </w:rPr>
      </w:pPr>
      <w:r>
        <w:rPr>
          <w:color w:val="000000"/>
        </w:rPr>
        <w:t xml:space="preserve">5. Ushbu shartnomaning shartlarini oʻzgartirish va qoʻshimcha kiritish yoki uni bekor qilish qoʻshimcha kelishuv tuzish orqali amalga oshiriladi. Qoʻshimcha kelishuv yozma shaklda tuzilib, tomonlarning vakolatli vakillari imzolaganidan soʻng haqiqiy hisoblanadi. Barcha oʻzgartirish, qoʻshimchalar va ilovalar mazkur shartnomaning ajralmas qismi boʻlib hisoblanadi.</w:t>
      </w:r>
    </w:p>
    <w:p>
      <w:pPr>
        <w:jc w:val="both"/>
        <w:shd w:fill="ffffff"/>
        <w:spacing w:line="276" w:lineRule="auto"/>
        <w:rPr>
          <w:color w:val="000000"/>
        </w:rPr>
      </w:pPr>
    </w:p>
    <w:p>
      <w:pPr>
        <w:jc w:val="center"/>
        <w:shd w:fill="ffffff"/>
        <w:spacing w:line="276" w:lineRule="auto"/>
        <w:rPr>
          <w:color w:val="000000"/>
        </w:rPr>
      </w:pPr>
      <w:r>
        <w:rPr>
          <w:b/>
          <w:color w:val="000000"/>
        </w:rPr>
        <w:t xml:space="preserve">VI. MAXFIYLIK</w:t>
      </w:r>
    </w:p>
    <w:p>
      <w:pPr>
        <w:jc w:val="both"/>
        <w:shd w:fill="ffffff"/>
        <w:ind w:firstLine="426"/>
        <w:spacing w:line="276" w:lineRule="auto"/>
        <w:rPr>
          <w:color w:val="000000"/>
        </w:rPr>
      </w:pPr>
      <w:r>
        <w:rPr>
          <w:color w:val="000000"/>
        </w:rPr>
        <w:t xml:space="preserve">6.1. Tomonlar shartnomani tuzish va shartnomadan kelib chiqadigan majburiyatlarni bajarish chogʻida boshqa tomonning maʼlumotlarini axborot egasining yozma roziligisiz oshkor qilmaslik majburiyatini oladi. </w:t>
      </w:r>
    </w:p>
    <w:p>
      <w:pPr>
        <w:jc w:val="both"/>
        <w:shd w:fill="ffffff"/>
        <w:ind w:firstLine="426"/>
        <w:spacing w:line="276" w:lineRule="auto"/>
        <w:rPr>
          <w:color w:val="000000"/>
        </w:rPr>
      </w:pPr>
      <w:r>
        <w:rPr>
          <w:color w:val="000000"/>
        </w:rPr>
        <w:t xml:space="preserve">6.2. Ushbu talablarni buzgan taraf buning oqibatida ikkinchi tarafga yetkazilgan barcha zararni toʻliq hajmda qoplaydi.</w:t>
      </w:r>
    </w:p>
    <w:p>
      <w:pPr>
        <w:jc w:val="both"/>
        <w:shd w:fill="ffffff"/>
        <w:spacing w:line="276" w:lineRule="auto"/>
        <w:rPr>
          <w:color w:val="000000"/>
        </w:rPr>
      </w:pPr>
    </w:p>
    <w:p>
      <w:pPr>
        <w:jc w:val="center"/>
        <w:shd w:fill="ffffff"/>
        <w:spacing w:line="276" w:lineRule="auto"/>
        <w:rPr>
          <w:b/>
          <w:color w:val="000000"/>
        </w:rPr>
      </w:pPr>
      <w:r>
        <w:rPr>
          <w:b/>
          <w:color w:val="000000"/>
        </w:rPr>
        <w:t xml:space="preserve">VII. FORS-MAJOR HOLATLARI</w:t>
      </w:r>
    </w:p>
    <w:p>
      <w:pPr>
        <w:jc w:val="both"/>
        <w:shd w:fill="ffffff"/>
        <w:ind w:firstLine="426"/>
        <w:spacing w:line="276" w:lineRule="auto"/>
        <w:rPr>
          <w:color w:val="000000"/>
        </w:rPr>
      </w:pPr>
      <w:r>
        <w:rPr>
          <w:color w:val="000000"/>
        </w:rPr>
        <w:t xml:space="preserve">7.1. Yengib boʻlmaydigan kuchlar (fors-major) holatlari - bu tomonlarning irodasi, xohishi va faoliyatlariga bogʻliq boʻlmagan tabiat hodisalari (zilzila, koʻchki, boʻron, qurgʻoqchilik va boshqalar), ijtimoiy-iqtisodiy holatlar (urush holati, qamal, davlat manfaatlarini koʻzlab import va eksportni taqiqlash va boshqalar), xalqaro, banklararo va bankning elektron toʻlov hamda taʼminot tizimidagi nosozlik, bankning dasturiy taʼminot tizimiga qilingan taxdid (uchinchi shaxslar tomonidan qilingan xujumlar) sababli yuzaga kelgan sharoitlarda tomonlarga qabul qilingan majburiyatlarni bajarish imkonini bermaydigan favqulodda, oldini olib boʻlmaydigan va kutilmagan holatlardir.</w:t>
      </w:r>
    </w:p>
    <w:p>
      <w:pPr>
        <w:jc w:val="both"/>
        <w:shd w:fill="ffffff"/>
        <w:ind w:firstLine="426"/>
        <w:spacing w:line="276" w:lineRule="auto"/>
        <w:rPr>
          <w:color w:val="000000"/>
        </w:rPr>
      </w:pPr>
      <w:r>
        <w:rPr>
          <w:color w:val="000000"/>
        </w:rPr>
        <w:t xml:space="preserve">7.2. Fors-major holatlari yuzaga kelgan vaqtda taraflar ushbu holatlar bartaraf etilguniga qadar shartnoma boʻyicha oʻzaro majburiyatlarini bajarishdan ozod boʻladilar.</w:t>
      </w:r>
    </w:p>
    <w:p>
      <w:pPr>
        <w:jc w:val="both"/>
        <w:shd w:fill="ffffff"/>
        <w:ind w:firstLine="426"/>
        <w:spacing w:line="276" w:lineRule="auto"/>
        <w:rPr>
          <w:color w:val="000000"/>
        </w:rPr>
      </w:pPr>
      <w:r>
        <w:rPr>
          <w:color w:val="000000"/>
        </w:rPr>
        <w:t xml:space="preserve">7.3. Yuzaga kelgan fors-major holatlari haqida hamda ushbu holatlar yakunlanganligi haqida taraf ushbu holatlar yuzaga kelgan yoki bartaraf etilgan  vaqtdan boshlab, Fors-major holatiga tushgan taraf bu haqida ikkinchi tomonni xabardor qilishi uchun belgilangan muddat  5 bank ish kuni ichida bu haqda ikkinchi tarafni yozma ravishda xabardor qilishi lozim.  </w:t>
      </w:r>
    </w:p>
    <w:p>
      <w:pPr>
        <w:jc w:val="both"/>
        <w:shd w:fill="ffffff"/>
        <w:ind w:firstLine="426"/>
        <w:spacing w:line="276" w:lineRule="auto"/>
        <w:rPr>
          <w:color w:val="000000"/>
        </w:rPr>
      </w:pPr>
      <w:r>
        <w:rPr>
          <w:color w:val="000000"/>
        </w:rPr>
        <w:t xml:space="preserve">7.4. Fors-major holatlari yuzaga kelganligi yoki bartaraf etilganligi haqidagi xabarnomalar tomonlarda mavjud boʻlgan barcha aloqa vositalari orqali yuborilishi mumkin.</w:t>
      </w:r>
    </w:p>
    <w:p>
      <w:pPr>
        <w:jc w:val="both"/>
        <w:shd w:fill="ffffff"/>
        <w:spacing w:line="276" w:lineRule="auto"/>
        <w:rPr>
          <w:color w:val="000000"/>
        </w:rPr>
      </w:pPr>
    </w:p>
    <w:p>
      <w:pPr>
        <w:pStyle w:val="a3"/>
        <w:jc w:val="center"/>
        <w:shd w:fill="ffffff"/>
        <w:ind w:firstLine="426"/>
        <w:spacing w:before="0" w:after="0" w:line="276" w:lineRule="auto"/>
        <w:rPr>
          <w:color w:val="000000"/>
          <w:sz w:val="28"/>
          <w:rFonts w:ascii="Times New Roman" w:hAnsi="Times New Roman"/>
        </w:rPr>
      </w:pPr>
      <w:r>
        <w:rPr>
          <w:b/>
          <w:color w:val="000000"/>
          <w:sz w:val="28"/>
        </w:rPr>
        <w:t xml:space="preserve">VIII. NIZOLARNI HAL ETISH TARTIBI</w:t>
      </w:r>
    </w:p>
    <w:p>
      <w:pPr>
        <w:pStyle w:val="a3"/>
        <w:jc w:val="both"/>
        <w:shd w:fill="ffffff"/>
        <w:ind w:firstLine="426"/>
        <w:spacing w:before="0" w:after="0" w:line="276" w:lineRule="auto"/>
        <w:tabs>
          <w:tab w:val="left" w:pos="284"/>
        </w:tabs>
        <w:rPr>
          <w:color w:val="000000"/>
          <w:sz w:val="28"/>
          <w:rFonts w:ascii="Times New Roman" w:hAnsi="Times New Roman"/>
        </w:rPr>
      </w:pPr>
      <w:r>
        <w:rPr>
          <w:color w:val="000000"/>
          <w:sz w:val="28"/>
        </w:rPr>
        <w:t> 8.1.</w:t>
      </w:r>
      <w:r>
        <w:rPr>
          <w:b/>
          <w:color w:val="000000"/>
          <w:sz w:val="28"/>
        </w:rPr>
        <w:t xml:space="preserve"> </w:t>
      </w:r>
      <w:r>
        <w:rPr>
          <w:color w:val="000000"/>
          <w:sz w:val="28"/>
        </w:rPr>
        <w:t xml:space="preserve">Tomonlar mazkur shartnomani bajarish vaqtida yuzaga kelgan kelishmovchilik yoki nizolarni muzokara yoʻli bilan hal etadilar. </w:t>
      </w:r>
    </w:p>
    <w:p>
      <w:pPr>
        <w:pStyle w:val="a3"/>
        <w:jc w:val="both"/>
        <w:shd w:fill="ffffff"/>
        <w:ind w:firstLine="425"/>
        <w:spacing w:before="0" w:after="0" w:line="276" w:lineRule="auto"/>
        <w:rPr>
          <w:color w:val="000000"/>
          <w:sz w:val="28"/>
          <w:rFonts w:ascii="Times New Roman" w:hAnsi="Times New Roman"/>
        </w:rPr>
      </w:pPr>
      <w:r>
        <w:rPr>
          <w:color w:val="000000"/>
          <w:sz w:val="28"/>
        </w:rPr>
        <w:t xml:space="preserve">8.2. Shartnoma yuzasidan nizolar muzokaralar yoʻli bilan hal etilmasa, ular Oʻzbekiston Respublikasi qonunchiligiga asosan sud tartibida hal etiladi.</w:t>
      </w:r>
    </w:p>
    <w:p>
      <w:pPr>
        <w:pStyle w:val="a5"/>
        <w:jc w:val="both"/>
        <w:shd w:fill="ffffff"/>
        <w:ind w:firstLine="425"/>
        <w:spacing w:before="0" w:after="0" w:line="276" w:lineRule="auto"/>
        <w:rPr>
          <w:color w:val="000000"/>
          <w:sz w:val="28"/>
          <w:rFonts w:ascii="Times New Roman" w:hAnsi="Times New Roman"/>
        </w:rPr>
      </w:pPr>
      <w:r>
        <w:rPr>
          <w:color w:val="000000"/>
          <w:sz w:val="28"/>
        </w:rPr>
        <w:t xml:space="preserve">8.3. Mazkur shartnomada koʻzda tutilmagan, u bilan bogʻliq boʻlgan barcha munosabatlar Oʻzbekiston Respublikasi amaldagi qonunchiligi bilan tartibga solinadi.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8.4. Oʻzaro kelishuv imkoniyati boʻlmaganda, huquqi buzilgan taraf yuborgan talabnoma yoki ogohlantirish xatiga ikkinchi taraf mazkur hujjatlarda koʻrsatilgan muddat ichida javob berishi lozim.</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8.5. Talabnoma yoki ogohlantirish xati tarafga shaxsan topshirilishi, elektron pochta manziliga yoki pochta aloqa xizmati orqali yuborilishi mumkin.</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8.6. Mazkur shartnoma va uning ilovasi bir xil yuridik kuchga ega boʻlgan ikki nusxada tuzilib, shartnomaning bir nusxasi Ijrochida, ikkinchi nusxasi Burtmachida saqlanadi.</w:t>
      </w:r>
    </w:p>
    <w:p>
      <w:pPr>
        <w:jc w:val="both"/>
        <w:shd w:fill="ffffff"/>
        <w:spacing w:line="276" w:lineRule="auto"/>
        <w:rPr>
          <w:color w:val="000000"/>
        </w:rPr>
      </w:pPr>
    </w:p>
    <w:p>
      <w:pPr>
        <w:jc w:val="center"/>
        <w:shd w:fill="ffffff"/>
        <w:spacing w:line="276" w:lineRule="auto"/>
        <w:rPr>
          <w:b/>
          <w:color w:val="000000"/>
        </w:rPr>
      </w:pPr>
      <w:r>
        <w:rPr>
          <w:b/>
          <w:color w:val="000000"/>
        </w:rPr>
        <w:t xml:space="preserve">IX. TARAFLARNING REKVIZITLARI VA IMZOLARI</w:t>
      </w:r>
    </w:p>
    <w:p>
      <w:pPr>
        <w:spacing w:line="276" w:lineRule="auto"/>
        <w:rPr>
          <w:sz w:val="18"/>
        </w:rPr>
      </w:pP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85"/>
        <w:gridCol w:w="1648"/>
        <w:gridCol w:w="899"/>
        <w:gridCol w:w="2354"/>
        <w:gridCol w:w="1769"/>
      </w:tblGrid>
      <w:tr>
        <w:trPr>
          <w:trHeight w:val="409"/>
        </w:trPr>
        <w:tc>
          <w:tcPr>
            <w:tcW w:w="4503" w:type="dxa"/>
            <w:gridSpan w:val="2"/>
          </w:tcPr>
          <w:p>
            <w:pPr>
              <w:jc w:val="center"/>
              <w:rPr>
                <w:color w:val="000000"/>
              </w:rPr>
            </w:pPr>
            <w:r>
              <w:rPr>
                <w:b/>
                <w:color w:val="000000"/>
              </w:rPr>
              <w:t>Buyurtmachi:</w:t>
            </w:r>
          </w:p>
        </w:tc>
        <w:tc>
          <w:tcPr>
            <w:tcW w:w="992" w:type="dxa"/>
          </w:tcPr>
          <w:p/>
        </w:tc>
        <w:tc>
          <w:tcPr>
            <w:tcW w:w="4359" w:type="dxa"/>
            <w:gridSpan w:val="2"/>
          </w:tcPr>
          <w:p>
            <w:pPr>
              <w:jc w:val="center"/>
              <w:rPr>
                <w:color w:val="000000"/>
              </w:rPr>
            </w:pPr>
            <w:r>
              <w:rPr>
                <w:b/>
                <w:color w:val="000000"/>
              </w:rPr>
              <w:t>Ijrochi:</w:t>
            </w:r>
          </w:p>
        </w:tc>
      </w:tr>
      <w:tr>
        <w:trPr>
          <w:trHeight w:val="428"/>
        </w:trPr>
        <w:tc>
          <w:tcPr>
            <w:tcW w:w="4503"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{"Y":9}</w:instrText>
              <w:fldChar w:fldCharType="separate"/>
              <w:t xml:space="preserve">Buyurtmachining to‘liq manzili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Manzil: </w:t>
            </w:r>
            <w:r>
              <w:rPr>
                <w:vanish w:val="false"/>
                <w:color w:val="000000"/>
                <w:rFonts w:ascii="Times New Roman" w:hAnsi="Times New Roman"/>
              </w:rPr>
              <w:fldChar w:fldCharType="begin"/>
              <w:instrText xml:space="preserve">X {"Y":18}</w:instrText>
              <w:fldChar w:fldCharType="separate"/>
              <w:t xml:space="preserve">Ijrochining to‘liq manzili</w:t>
            </w:r>
            <w:r>
              <w:rPr>
                <w:vanish w:val="false"/>
                <w:color w:val="000000"/>
                <w:rFonts w:ascii="Times New Roman" w:hAnsi="Times New Roman"/>
              </w:rPr>
              <w:fldChar w:fldCharType="end"/>
            </w:r>
          </w:p>
        </w:tc>
      </w:tr>
      <w:tr>
        <w:trPr>
          <w:trHeight w:val="419"/>
        </w:trPr>
        <w:tc>
          <w:tcPr>
            <w:tcW w:w="4503"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{"Y":10}</w:instrText>
              <w:fldChar w:fldCharType="separate"/>
              <w:t xml:space="preserve">Buyurtmachining hisob raqami joylashgan bank nomi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Bank: </w:t>
            </w:r>
            <w:r>
              <w:rPr>
                <w:vanish w:val="false"/>
                <w:color w:val="000000"/>
                <w:rFonts w:ascii="Times New Roman" w:hAnsi="Times New Roman"/>
              </w:rPr>
              <w:fldChar w:fldCharType="begin"/>
              <w:instrText xml:space="preserve">X {"Y":19}</w:instrText>
              <w:fldChar w:fldCharType="separate"/>
              <w:t xml:space="preserve">Ijrochining hisob raqami joylashgan bank nomi</w:t>
            </w:r>
            <w:r>
              <w:rPr>
                <w:vanish w:val="false"/>
                <w:color w:val="000000"/>
                <w:rFonts w:ascii="Times New Roman" w:hAnsi="Times New Roman"/>
              </w:rPr>
              <w:fldChar w:fldCharType="end"/>
            </w:r>
          </w:p>
        </w:tc>
      </w:tr>
      <w:tr>
        <w:trPr>
          <w:trHeight w:val="397"/>
        </w:trPr>
        <w:tc>
          <w:tcPr>
            <w:tcW w:w="4503"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{"Y":11}</w:instrText>
              <w:fldChar w:fldCharType="separate"/>
              <w:t xml:space="preserve">Buyurtmachining bank hisobraqami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H/R: </w:t>
            </w:r>
            <w:r>
              <w:rPr>
                <w:vanish w:val="false"/>
                <w:color w:val="000000"/>
                <w:rFonts w:ascii="Times New Roman" w:hAnsi="Times New Roman"/>
              </w:rPr>
              <w:fldChar w:fldCharType="begin"/>
              <w:instrText xml:space="preserve">X {"Y":20}</w:instrText>
              <w:fldChar w:fldCharType="separate"/>
              <w:t xml:space="preserve">Ijrochining bank hisobraqami</w:t>
            </w:r>
            <w:r>
              <w:rPr>
                <w:vanish w:val="false"/>
                <w:color w:val="000000"/>
                <w:rFonts w:ascii="Times New Roman" w:hAnsi="Times New Roman"/>
              </w:rPr>
              <w:fldChar w:fldCharType="end"/>
            </w:r>
          </w:p>
        </w:tc>
      </w:tr>
      <w:tr>
        <w:trPr>
          <w:trHeight w:val="431"/>
        </w:trPr>
        <w:tc>
          <w:tcPr>
            <w:tcW w:w="4503"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{"Y":12}</w:instrText>
              <w:fldChar w:fldCharType="separate"/>
              <w:t xml:space="preserve">Buyurtmachining STIR raqami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STIR: </w:t>
            </w:r>
            <w:r>
              <w:rPr>
                <w:vanish w:val="false"/>
                <w:color w:val="000000"/>
                <w:rFonts w:ascii="Times New Roman" w:hAnsi="Times New Roman"/>
              </w:rPr>
              <w:fldChar w:fldCharType="begin"/>
              <w:instrText xml:space="preserve">X {"Y":21}</w:instrText>
              <w:fldChar w:fldCharType="separate"/>
              <w:t xml:space="preserve">Ijrochining STIRi</w:t>
            </w:r>
            <w:r>
              <w:rPr>
                <w:vanish w:val="false"/>
                <w:color w:val="000000"/>
                <w:rFonts w:ascii="Times New Roman" w:hAnsi="Times New Roman"/>
              </w:rPr>
              <w:fldChar w:fldCharType="end"/>
            </w:r>
          </w:p>
        </w:tc>
      </w:tr>
      <w:tr>
        <w:trPr>
          <w:trHeight w:val="409"/>
        </w:trPr>
        <w:tc>
          <w:tcPr>
            <w:tcW w:w="4503"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{"Y":13}</w:instrText>
              <w:fldChar w:fldCharType="separate"/>
              <w:t xml:space="preserve">Buyurtmachining telefon raqami</w:t>
            </w:r>
            <w:r>
              <w:rPr>
                <w:vanish w:val="false"/>
                <w:color w:val="000000"/>
                <w:rFonts w:ascii="Times New Roman" w:hAnsi="Times New Roman"/>
              </w:rPr>
              <w:fldChar w:fldCharType="end"/>
            </w:r>
          </w:p>
        </w:tc>
        <w:tc>
          <w:tcPr>
            <w:tcW w:w="992" w:type="dxa"/>
          </w:tcPr>
          <w:p/>
        </w:tc>
        <w:tc>
          <w:tcPr>
            <w:tcW w:w="4359" w:type="dxa"/>
            <w:gridSpan w:val="2"/>
          </w:tcPr>
          <w:p>
            <w:pPr>
              <w:jc w:val="both"/>
              <w:rPr>
                <w:color w:val="000000"/>
              </w:rPr>
            </w:pPr>
            <w:r>
              <w:rPr>
                <w:color w:val="000000"/>
              </w:rPr>
              <w:t xml:space="preserve">Telefon: </w:t>
            </w:r>
            <w:r>
              <w:rPr>
                <w:vanish w:val="false"/>
                <w:color w:val="000000"/>
                <w:rFonts w:ascii="Times New Roman" w:hAnsi="Times New Roman"/>
              </w:rPr>
              <w:fldChar w:fldCharType="begin"/>
              <w:instrText xml:space="preserve">X {"Y":22}</w:instrText>
              <w:fldChar w:fldCharType="separate"/>
              <w:t xml:space="preserve">Ijrochining telefon raqami</w:t>
            </w:r>
            <w:r>
              <w:rPr>
                <w:vanish w:val="false"/>
                <w:color w:val="000000"/>
                <w:rFonts w:ascii="Times New Roman" w:hAnsi="Times New Roman"/>
              </w:rPr>
              <w:fldChar w:fldCharType="end"/>
            </w:r>
          </w:p>
        </w:tc>
      </w:tr>
      <w:tr>
        <w:trPr>
          <w:trHeight w:val="727"/>
        </w:trPr>
        <w:tc>
          <w:tcPr>
            <w:tcW w:w="2755"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{"Y":8}</w:instrText>
              <w:fldChar w:fldCharType="separate"/>
              <w:t xml:space="preserve">Buyurtmachining lavozimi va F.I.Sh.i</w:t>
            </w:r>
            <w:r>
              <w:rPr>
                <w:vanish w:val="false"/>
                <w:color w:val="000000"/>
                <w:rFonts w:ascii="Times New Roman" w:hAnsi="Times New Roman"/>
              </w:rPr>
              <w:fldChar w:fldCharType="end"/>
            </w:r>
          </w:p>
        </w:tc>
        <w:tc>
          <w:tcPr>
            <w:tcW w:w="1748" w:type="dxa"/>
          </w:tcPr>
          <w:p>
            <w:pPr>
              <w:jc w:val="both"/>
              <w:rPr>
                <w:color w:val="000000"/>
              </w:rPr>
            </w:pPr>
            <w:r>
              <w:rPr>
                <w:color w:val="000000"/>
              </w:rPr>
              <w:t>_____</w:t>
            </w:r>
          </w:p>
          <w:p>
            <w:pPr>
              <w:jc w:val="both"/>
              <w:rPr>
                <w:i/>
                <w:color w:val="000000"/>
              </w:rPr>
            </w:pPr>
            <w:r>
              <w:rPr>
                <w:i/>
                <w:color w:val="000000"/>
              </w:rPr>
              <w:t>Imzo</w:t>
            </w:r>
          </w:p>
        </w:tc>
        <w:tc>
          <w:tcPr>
            <w:tcW w:w="992" w:type="dxa"/>
          </w:tcPr>
          <w:p/>
        </w:tc>
        <w:tc>
          <w:tcPr>
            <w:tcW w:w="2492" w:type="dxa"/>
          </w:tcPr>
          <w:p>
            <w:pPr>
              <w:jc w:val="both"/>
              <w:rPr>
                <w:color w:val="000000"/>
              </w:rPr>
            </w:pPr>
            <w:r>
              <w:rPr>
                <w:color w:val="000000"/>
              </w:rPr>
              <w:t xml:space="preserve">F.I.Sh: </w:t>
            </w:r>
            <w:r>
              <w:rPr>
                <w:vanish w:val="false"/>
                <w:color w:val="000000"/>
                <w:rFonts w:ascii="Times New Roman" w:hAnsi="Times New Roman"/>
              </w:rPr>
              <w:fldChar w:fldCharType="begin"/>
              <w:instrText xml:space="preserve">X {"Y":17}</w:instrText>
              <w:fldChar w:fldCharType="separate"/>
              <w:t xml:space="preserve">Ijrochi vakilining lavozimi va F.I.Sh.i</w:t>
            </w:r>
            <w:r>
              <w:rPr>
                <w:vanish w:val="false"/>
                <w:color w:val="000000"/>
                <w:rFonts w:ascii="Times New Roman" w:hAnsi="Times New Roman"/>
              </w:rPr>
              <w:fldChar w:fldCharType="end"/>
            </w:r>
          </w:p>
        </w:tc>
        <w:tc>
          <w:tcPr>
            <w:tcW w:w="1867" w:type="dxa"/>
          </w:tcPr>
          <w:p>
            <w:pPr>
              <w:jc w:val="both"/>
              <w:rPr>
                <w:color w:val="000000"/>
              </w:rPr>
            </w:pPr>
            <w:r>
              <w:rPr>
                <w:color w:val="000000"/>
              </w:rPr>
              <w:t>______</w:t>
            </w:r>
          </w:p>
          <w:p>
            <w:pPr>
              <w:jc w:val="both"/>
              <w:rPr>
                <w:color w:val="000000"/>
              </w:rPr>
            </w:pPr>
            <w:r>
              <w:rPr>
                <w:i/>
                <w:color w:val="000000"/>
              </w:rPr>
              <w:t>Imzo</w:t>
            </w:r>
          </w:p>
        </w:tc>
      </w:tr>
    </w:tbl>
    <w:p>
      <w:pPr>
        <w:spacing w:line="276" w:lineRule="auto"/>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0FA"/>
    <w:rsid w:val="00047585"/>
    <w:rsid w:val="00050293"/>
    <w:rsid w:val="000848B4"/>
    <w:rsid w:val="000925AF"/>
    <w:rsid w:val="000B06E5"/>
    <w:rsid w:val="000D5351"/>
    <w:rsid w:val="000D54C3"/>
    <w:rsid w:val="001056A7"/>
    <w:rsid w:val="001071B9"/>
    <w:rsid w:val="0011056C"/>
    <w:rsid w:val="00110F00"/>
    <w:rsid w:val="0014184F"/>
    <w:rsid w:val="00145E46"/>
    <w:rsid w:val="001464DB"/>
    <w:rsid w:val="001676E0"/>
    <w:rsid w:val="001B2034"/>
    <w:rsid w:val="001B78C1"/>
    <w:rsid w:val="001C0291"/>
    <w:rsid w:val="0022068A"/>
    <w:rsid w:val="002256C3"/>
    <w:rsid w:val="00240F06"/>
    <w:rsid w:val="00244B20"/>
    <w:rsid w:val="002642F2"/>
    <w:rsid w:val="0026751F"/>
    <w:rsid w:val="002832A6"/>
    <w:rsid w:val="00285434"/>
    <w:rsid w:val="002C2A45"/>
    <w:rsid w:val="002C46BA"/>
    <w:rsid w:val="00342C74"/>
    <w:rsid w:val="00376E54"/>
    <w:rsid w:val="00381018"/>
    <w:rsid w:val="003A2832"/>
    <w:rsid w:val="003B4075"/>
    <w:rsid w:val="003C3147"/>
    <w:rsid w:val="003D4186"/>
    <w:rsid w:val="004235F0"/>
    <w:rsid w:val="00426201"/>
    <w:rsid w:val="00431E31"/>
    <w:rsid w:val="004362F9"/>
    <w:rsid w:val="00492D9B"/>
    <w:rsid w:val="0049435B"/>
    <w:rsid w:val="00494603"/>
    <w:rsid w:val="004B4F92"/>
    <w:rsid w:val="004C0F7C"/>
    <w:rsid w:val="004C26D9"/>
    <w:rsid w:val="00547771"/>
    <w:rsid w:val="00577A29"/>
    <w:rsid w:val="00595765"/>
    <w:rsid w:val="005C0C36"/>
    <w:rsid w:val="006221B8"/>
    <w:rsid w:val="0062572C"/>
    <w:rsid w:val="006408A3"/>
    <w:rsid w:val="00646056"/>
    <w:rsid w:val="00654A63"/>
    <w:rsid w:val="00654E88"/>
    <w:rsid w:val="00681924"/>
    <w:rsid w:val="006B09A6"/>
    <w:rsid w:val="006D479C"/>
    <w:rsid w:val="006D53D2"/>
    <w:rsid w:val="006F0635"/>
    <w:rsid w:val="00716981"/>
    <w:rsid w:val="00721482"/>
    <w:rsid w:val="007B67D8"/>
    <w:rsid w:val="007C6FC9"/>
    <w:rsid w:val="007D4568"/>
    <w:rsid w:val="007E66AB"/>
    <w:rsid w:val="007F3A99"/>
    <w:rsid w:val="007F59E8"/>
    <w:rsid w:val="00831BC1"/>
    <w:rsid w:val="00855E9D"/>
    <w:rsid w:val="0086719C"/>
    <w:rsid w:val="008848DC"/>
    <w:rsid w:val="008A4FDA"/>
    <w:rsid w:val="008C02B8"/>
    <w:rsid w:val="008D2989"/>
    <w:rsid w:val="008E129D"/>
    <w:rsid w:val="009239B6"/>
    <w:rsid w:val="00935860"/>
    <w:rsid w:val="00935BBC"/>
    <w:rsid w:val="009758E7"/>
    <w:rsid w:val="009B201E"/>
    <w:rsid w:val="009C27C9"/>
    <w:rsid w:val="009D6882"/>
    <w:rsid w:val="009F0661"/>
    <w:rsid w:val="00A1674C"/>
    <w:rsid w:val="00A337B6"/>
    <w:rsid w:val="00A370FA"/>
    <w:rsid w:val="00A60937"/>
    <w:rsid w:val="00A62BC5"/>
    <w:rsid w:val="00B2403E"/>
    <w:rsid w:val="00B42716"/>
    <w:rsid w:val="00B55B84"/>
    <w:rsid w:val="00BC2C34"/>
    <w:rsid w:val="00BC37FA"/>
    <w:rsid w:val="00C102E9"/>
    <w:rsid w:val="00C36677"/>
    <w:rsid w:val="00C50DA9"/>
    <w:rsid w:val="00C50F2B"/>
    <w:rsid w:val="00CA4C55"/>
    <w:rsid w:val="00CB3B0A"/>
    <w:rsid w:val="00CF5821"/>
    <w:rsid w:val="00D301E8"/>
    <w:rsid w:val="00D37CDE"/>
    <w:rsid w:val="00D40796"/>
    <w:rsid w:val="00D8120B"/>
    <w:rsid w:val="00DA632F"/>
    <w:rsid w:val="00DD1756"/>
    <w:rsid w:val="00DE1E53"/>
    <w:rsid w:val="00E0055B"/>
    <w:rsid w:val="00E019CE"/>
    <w:rsid w:val="00E21624"/>
    <w:rsid w:val="00E81293"/>
    <w:rsid w:val="00E868A2"/>
    <w:rsid w:val="00E97611"/>
    <w:rsid w:val="00EA4717"/>
    <w:rsid w:val="00ED1ED7"/>
    <w:rsid w:val="00EF4D07"/>
    <w:rsid w:val="00F42D9D"/>
    <w:rsid w:val="00FA7EBC"/>
    <w:rsid w:val="00FB03CC"/>
    <w:rsid w:val="00FE1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896C83-02CB-4CE6-A5F3-48820323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A4FDA"/>
    <w:pPr>
      <w:spacing w:before="100" w:beforeAutospacing="1" w:after="100" w:afterAutospacing="1"/>
    </w:pPr>
    <w:rPr>
      <w:rFonts w:eastAsia="Times New Roman" w:cs="Times New Roman"/>
      <w:sz w:val="24"/>
      <w:szCs w:val="24"/>
      <w:lang w:eastAsia="ru-RU"/>
    </w:rPr>
  </w:style>
  <w:style w:type="character" w:customStyle="1" w:styleId="structures">
    <w:name w:val="structures"/>
    <w:basedOn w:val="a0"/>
    <w:rsid w:val="008A4FDA"/>
  </w:style>
  <w:style w:type="paragraph" w:styleId="a4">
    <w:name w:val="List Paragraph"/>
    <w:basedOn w:val="a"/>
    <w:uiPriority w:val="34"/>
    <w:qFormat/>
    <w:rsid w:val="004B4F92"/>
    <w:pPr>
      <w:ind w:left="720"/>
      <w:contextualSpacing/>
    </w:pPr>
  </w:style>
  <w:style w:type="paragraph" w:customStyle="1" w:styleId="a5">
    <w:name w:val="a5"/>
    <w:basedOn w:val="a"/>
    <w:rsid w:val="00654E88"/>
    <w:pPr>
      <w:spacing w:before="100" w:beforeAutospacing="1" w:after="100" w:afterAutospacing="1"/>
    </w:pPr>
    <w:rPr>
      <w:rFonts w:eastAsia="Times New Roman" w:cs="Times New Roman"/>
      <w:sz w:val="24"/>
      <w:szCs w:val="24"/>
      <w:lang w:eastAsia="ru-RU"/>
    </w:rPr>
  </w:style>
  <w:style w:type="paragraph" w:customStyle="1" w:styleId="customclass3">
    <w:name w:val="customclass3"/>
    <w:basedOn w:val="a"/>
    <w:rsid w:val="00654E88"/>
    <w:pPr>
      <w:spacing w:before="100" w:beforeAutospacing="1" w:after="100" w:afterAutospacing="1"/>
    </w:pPr>
    <w:rPr>
      <w:rFonts w:eastAsia="Times New Roman" w:cs="Times New Roman"/>
      <w:sz w:val="24"/>
      <w:szCs w:val="24"/>
      <w:lang w:eastAsia="ru-RU"/>
    </w:rPr>
  </w:style>
  <w:style w:type="table" w:styleId="a6">
    <w:name w:val="Table Grid"/>
    <w:basedOn w:val="a1"/>
    <w:uiPriority w:val="59"/>
    <w:rsid w:val="00FE1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977892">
      <w:bodyDiv w:val="1"/>
      <w:marLeft w:val="0"/>
      <w:marRight w:val="0"/>
      <w:marTop w:val="0"/>
      <w:marBottom w:val="0"/>
      <w:divBdr>
        <w:top w:val="none" w:sz="0" w:space="0" w:color="auto"/>
        <w:left w:val="none" w:sz="0" w:space="0" w:color="auto"/>
        <w:bottom w:val="none" w:sz="0" w:space="0" w:color="auto"/>
        <w:right w:val="none" w:sz="0" w:space="0" w:color="auto"/>
      </w:divBdr>
    </w:div>
    <w:div w:id="1042897447">
      <w:bodyDiv w:val="1"/>
      <w:marLeft w:val="0"/>
      <w:marRight w:val="0"/>
      <w:marTop w:val="0"/>
      <w:marBottom w:val="0"/>
      <w:divBdr>
        <w:top w:val="none" w:sz="0" w:space="0" w:color="auto"/>
        <w:left w:val="none" w:sz="0" w:space="0" w:color="auto"/>
        <w:bottom w:val="none" w:sz="0" w:space="0" w:color="auto"/>
        <w:right w:val="none" w:sz="0" w:space="0" w:color="auto"/>
      </w:divBdr>
    </w:div>
    <w:div w:id="1212427180">
      <w:bodyDiv w:val="1"/>
      <w:marLeft w:val="0"/>
      <w:marRight w:val="0"/>
      <w:marTop w:val="0"/>
      <w:marBottom w:val="0"/>
      <w:divBdr>
        <w:top w:val="none" w:sz="0" w:space="0" w:color="auto"/>
        <w:left w:val="none" w:sz="0" w:space="0" w:color="auto"/>
        <w:bottom w:val="none" w:sz="0" w:space="0" w:color="auto"/>
        <w:right w:val="none" w:sz="0" w:space="0" w:color="auto"/>
      </w:divBdr>
    </w:div>
    <w:div w:id="1293362766">
      <w:bodyDiv w:val="1"/>
      <w:marLeft w:val="0"/>
      <w:marRight w:val="0"/>
      <w:marTop w:val="0"/>
      <w:marBottom w:val="0"/>
      <w:divBdr>
        <w:top w:val="none" w:sz="0" w:space="0" w:color="auto"/>
        <w:left w:val="none" w:sz="0" w:space="0" w:color="auto"/>
        <w:bottom w:val="none" w:sz="0" w:space="0" w:color="auto"/>
        <w:right w:val="none" w:sz="0" w:space="0" w:color="auto"/>
      </w:divBdr>
    </w:div>
    <w:div w:id="1423527389">
      <w:bodyDiv w:val="1"/>
      <w:marLeft w:val="0"/>
      <w:marRight w:val="0"/>
      <w:marTop w:val="0"/>
      <w:marBottom w:val="0"/>
      <w:divBdr>
        <w:top w:val="none" w:sz="0" w:space="0" w:color="auto"/>
        <w:left w:val="none" w:sz="0" w:space="0" w:color="auto"/>
        <w:bottom w:val="none" w:sz="0" w:space="0" w:color="auto"/>
        <w:right w:val="none" w:sz="0" w:space="0" w:color="auto"/>
      </w:divBdr>
    </w:div>
    <w:div w:id="1641839536">
      <w:bodyDiv w:val="1"/>
      <w:marLeft w:val="0"/>
      <w:marRight w:val="0"/>
      <w:marTop w:val="0"/>
      <w:marBottom w:val="0"/>
      <w:divBdr>
        <w:top w:val="none" w:sz="0" w:space="0" w:color="auto"/>
        <w:left w:val="none" w:sz="0" w:space="0" w:color="auto"/>
        <w:bottom w:val="none" w:sz="0" w:space="0" w:color="auto"/>
        <w:right w:val="none" w:sz="0" w:space="0" w:color="auto"/>
      </w:divBdr>
    </w:div>
    <w:div w:id="184080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1398</Words>
  <Characters>7969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Yulchi Buriev</dc:creator>
  <cp:keywords/>
  <dc:description/>
  <cp:lastModifiedBy>Shakarboy Goyibnazarov</cp:lastModifiedBy>
  <cp:revision>3</cp:revision>
  <dcterms:created xsi:type="dcterms:W3CDTF">2022-08-23T12:43:00Z</dcterms:created>
  <dcterms:modified xsi:type="dcterms:W3CDTF">2022-08-23T12:44:00Z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hudud</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Buyurtmachining to‘liq nomi</w:name>
    <w:value w:hidden="false">
      <w:unit w:active="false"/>
    </w:value>
  </w:element>
  <w:element w:id="7" w:kind="variable" w:selector="check" w:type="string" w:valueMode="normal" w:required="false" w:groupID="5">
    <w:identifier xml:space="preserve">ID7</w:identifier>
    <w:name xml:space="preserve">Buyurtmachining ustav, nizom yoki ishonchnomasi raqami va berilgan vaqti</w:name>
    <w:value w:hidden="false">
      <w:unit w:active="false"/>
    </w:value>
  </w:element>
  <w:element w:id="8" w:kind="variable" w:selector="check" w:type="string" w:valueMode="normal" w:required="false" w:groupID="5">
    <w:identifier xml:space="preserve">ID8</w:identifier>
    <w:name xml:space="preserve">Buyurtmachining lavozimi va F.I.Sh.i</w:name>
    <w:value w:hidden="false">
      <w:unit w:active="false"/>
    </w:value>
  </w:element>
  <w:element w:id="9" w:kind="variable" w:selector="check" w:type="string" w:valueMode="normal" w:required="false" w:groupID="5">
    <w:identifier xml:space="preserve">ID9</w:identifier>
    <w:name xml:space="preserve">Buyurtmachining to‘liq manzili</w:name>
    <w:value w:hidden="false">
      <w:unit w:active="false"/>
    </w:value>
  </w:element>
  <w:element w:id="10" w:kind="variable" w:selector="check" w:type="string" w:valueMode="normal" w:required="false" w:groupID="5">
    <w:identifier xml:space="preserve">ID10</w:identifier>
    <w:name xml:space="preserve">Buyurtmachining hisob raqami joylashgan bank nomi</w:name>
    <w:value w:hidden="false">
      <w:unit w:active="false"/>
    </w:value>
  </w:element>
  <w:element w:id="11" w:kind="variable" w:selector="check" w:type="string" w:valueMode="normal" w:required="false" w:groupID="5">
    <w:identifier xml:space="preserve">ID11</w:identifier>
    <w:name xml:space="preserve">Buyurtmachining bank hisobraqami</w:name>
    <w:value w:hidden="false">
      <w:unit w:active="false"/>
    </w:value>
  </w:element>
  <w:element w:id="12" w:kind="variable" w:selector="check" w:type="string" w:valueMode="normal" w:required="false" w:groupID="5">
    <w:identifier xml:space="preserve">ID12</w:identifier>
    <w:name xml:space="preserve">Buyurtmachining STIR raqami</w:name>
    <w:value w:hidden="false">
      <w:unit w:active="false"/>
    </w:value>
  </w:element>
  <w:element w:id="13" w:kind="variable" w:selector="check" w:type="string" w:valueMode="normal" w:required="false" w:groupID="5">
    <w:identifier xml:space="preserve">ID13</w:identifier>
    <w:name xml:space="preserve">Buyurtmachining telefon raqami</w:name>
    <w:value w:hidden="false">
      <w:unit w:active="false"/>
    </w:value>
  </w:element>
  <w:element w:id="14" w:kind="category" w:selector="check" w:type="string" w:valueMode="normal" w:required="false">
    <w:identifier xml:space="preserve">ID14</w:identifier>
    <w:name xml:space="preserve">Ijrochi</w:name>
    <w:value w:hidden="true">
      <w:unit w:active="false"/>
    </w:value>
  </w:element>
  <w:element w:id="15" w:kind="variable" w:selector="check" w:type="string" w:valueMode="normal" w:required="false" w:groupID="14">
    <w:identifier xml:space="preserve">ID15</w:identifier>
    <w:name xml:space="preserve">Ijrochining to‘liq nomi</w:name>
    <w:value w:hidden="false">
      <w:unit w:active="false"/>
    </w:value>
  </w:element>
  <w:element w:id="16" w:kind="variable" w:selector="check" w:type="string" w:valueMode="normal" w:required="false" w:groupID="14">
    <w:identifier xml:space="preserve">ID16</w:identifier>
    <w:name xml:space="preserve">Ijrochining ustav, nizom yoki ishonchnomasi raqami va berilgan vaqti</w:name>
    <w:value w:hidden="false">
      <w:unit w:active="false"/>
    </w:value>
  </w:element>
  <w:element w:id="17" w:kind="variable" w:selector="check" w:type="string" w:valueMode="normal" w:required="false" w:groupID="14">
    <w:identifier xml:space="preserve">ID17</w:identifier>
    <w:name xml:space="preserve">Ijrochi vakilining lavozimi va F.I.Sh.i</w:name>
    <w:value w:hidden="false">
      <w:unit w:active="false"/>
    </w:value>
  </w:element>
  <w:element w:id="18" w:kind="variable" w:selector="check" w:type="string" w:valueMode="normal" w:required="false" w:groupID="14">
    <w:identifier xml:space="preserve">ID18</w:identifier>
    <w:name xml:space="preserve">Ijrochining to‘liq manzili</w:name>
    <w:value w:hidden="false">
      <w:unit w:active="false"/>
    </w:value>
  </w:element>
  <w:element w:id="19" w:kind="variable" w:selector="check" w:type="string" w:valueMode="normal" w:required="false" w:groupID="14">
    <w:identifier xml:space="preserve">ID19</w:identifier>
    <w:name xml:space="preserve">Ijrochining hisob raqami joylashgan bank nomi</w:name>
    <w:value w:hidden="false">
      <w:unit w:active="false"/>
    </w:value>
  </w:element>
  <w:element w:id="20" w:kind="variable" w:selector="check" w:type="string" w:valueMode="normal" w:required="false" w:groupID="14">
    <w:identifier xml:space="preserve">ID20</w:identifier>
    <w:name xml:space="preserve">Ijrochining bank hisobraqami</w:name>
    <w:value w:hidden="false">
      <w:unit w:active="false"/>
    </w:value>
  </w:element>
  <w:element w:id="21" w:kind="variable" w:selector="check" w:type="string" w:valueMode="normal" w:required="false" w:groupID="14">
    <w:identifier xml:space="preserve">ID21</w:identifier>
    <w:name xml:space="preserve">Ijrochining STIRi</w:name>
    <w:value w:hidden="false">
      <w:unit w:active="false"/>
    </w:value>
  </w:element>
  <w:element w:id="22" w:kind="variable" w:selector="check" w:type="string" w:valueMode="normal" w:required="false" w:groupID="14">
    <w:identifier xml:space="preserve">ID22</w:identifier>
    <w:name xml:space="preserve">Ijrochining telefon raqami</w:name>
    <w:value w:hidden="false">
      <w:unit w:active="false"/>
    </w:value>
  </w:element>
  <w:element w:id="24" w:kind="category" w:selector="check" w:type="string" w:valueMode="normal" w:required="false">
    <w:identifier xml:space="preserve">ID24</w:identifier>
    <w:name xml:space="preserve">Shartnoma mazmuni</w:name>
    <w:value w:hidden="true">
      <w:unit w:active="false"/>
    </w:value>
  </w:element>
  <w:element w:id="26" w:kind="variable" w:selector="check" w:type="string" w:valueMode="normal" w:required="false" w:groupID="24">
    <w:identifier xml:space="preserve">ID26</w:identifier>
    <w:name xml:space="preserve">Mikromoliyaviy xizmatning turi va tavsifi</w:name>
    <w:value w:hidden="false">
      <w:unit w:active="false"/>
    </w:value>
  </w:element>
  <w:element w:id="27" w:kind="variable" w:selector="check" w:type="string" w:valueMode="normal" w:required="false" w:groupID="24">
    <w:identifier xml:space="preserve">ID27</w:identifier>
    <w:name xml:space="preserve">Mikromoliyaviy xizmatlar ko‘rsatish muddati</w:name>
    <w:value w:hidden="false">
      <w:unit w:active="false"/>
    </w:value>
  </w:element>
  <w:element w:id="28" w:kind="variable" w:selector="check" w:type="string" w:valueMode="normal" w:required="false" w:groupID="24">
    <w:identifier xml:space="preserve">ID28</w:identifier>
    <w:name xml:space="preserve">Buyurtmachining boshqa majburiyatlari</w:name>
    <w:value w:hidden="false">
      <w:unit w:active="false"/>
    </w:value>
  </w:element>
  <w:element w:id="29" w:kind="variable" w:selector="check" w:type="string" w:valueMode="normal" w:required="false" w:groupID="24">
    <w:identifier xml:space="preserve">ID29</w:identifier>
    <w:name xml:space="preserve">Ijrochining boshqa majburiyatlari</w:name>
    <w:value w:hidden="false">
      <w:unit w:active="false"/>
    </w:value>
  </w:element>
</w:structure>
</file>