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708" w:firstLine="708"/>
        <w:rPr>
          <w:b/>
          <w:sz w:val="24"/>
          <w:rFonts w:ascii="Times New Roman" w:hAnsi="Times New Roman"/>
        </w:rPr>
      </w:pPr>
      <w:r>
        <w:rPr>
          <w:b/>
          <w:sz w:val="24"/>
        </w:rPr>
        <w:t xml:space="preserve">MIKROQARZ SHARTNOMASI </w:t>
      </w:r>
    </w:p>
    <w:p>
      <w:pPr>
        <w:jc w:val="center"/>
        <w:ind w:left="708" w:firstLine="708"/>
        <w:rPr>
          <w:b/>
          <w:sz w:val="24"/>
        </w:rPr>
      </w:pPr>
      <w:r>
        <w:rPr>
          <w:b/>
          <w:sz w:val="24"/>
        </w:rPr>
      </w:r>
    </w:p>
    <w:tbl>
      <w:tblPr>
        <w:tblW w:w="0" w:type="auto"/>
        <w:tblpPr w:horzAnchor="margin" w:vertAnchor="text" w:tblpY="198" w:tblpXSpec="center" w:leftFromText="180" w:rightFromText="180"/>
      </w:tblPr>
      <w:tblGrid>
        <w:gridCol w:w="3615"/>
        <w:gridCol w:w="2054"/>
        <w:gridCol w:w="3685"/>
      </w:tblGrid>
      <w:tr>
        <w:tc>
          <w:tcPr>
            <w:tcW w:w="3616" w:type="dxa"/>
            <w:shd w:fill="auto"/>
          </w:tcPr>
          <w:p>
            <w:pPr>
              <w:pStyle w:val="a7"/>
              <w:jc w:val="center"/>
              <w:rPr>
                <w:b/>
                <w:rFonts w:ascii="Times New Roman" w:hAnsi="Times New Roman"/>
              </w:rPr>
            </w:pPr>
            <w:r>
              <w:rPr>
                <w:vanish w:val="false"/>
              </w:rPr>
              <w:fldChar w:fldCharType="begin"/>
              <w:instrText xml:space="preserve">X {"Y":2}</w:instrText>
              <w:fldChar w:fldCharType="separate"/>
              <w:t xml:space="preserve">Shartnoma tuzilgan sana</w:t>
            </w:r>
            <w:r>
              <w:rPr>
                <w:vanish w:val="false"/>
              </w:rPr>
              <w:fldChar w:fldCharType="end"/>
            </w:r>
          </w:p>
        </w:tc>
        <w:tc>
          <w:tcPr>
            <w:tcW w:w="2054" w:type="dxa"/>
            <w:shd w:fill="auto"/>
          </w:tcPr>
          <w:p>
            <w:pPr>
              <w:pStyle w:val="a7"/>
              <w:jc w:val="center"/>
            </w:pPr>
            <w:r>
              <w:rPr>
                <w:vanish w:val="false"/>
              </w:rPr>
              <w:fldChar w:fldCharType="begin"/>
              <w:instrText xml:space="preserve">X {"Y":3}</w:instrText>
              <w:fldChar w:fldCharType="separate"/>
              <w:t xml:space="preserve">Shartnoma raqami</w:t>
            </w:r>
            <w:r>
              <w:rPr>
                <w:vanish w:val="false"/>
              </w:rPr>
              <w:fldChar w:fldCharType="end"/>
            </w:r>
          </w:p>
        </w:tc>
        <w:tc>
          <w:tcPr>
            <w:tcW w:w="3685" w:type="dxa"/>
            <w:shd w:fill="auto"/>
          </w:tcPr>
          <w:p>
            <w:pPr>
              <w:pStyle w:val="a7"/>
              <w:jc w:val="center"/>
            </w:pPr>
            <w:r>
              <w:rPr>
                <w:vanish w:val="false"/>
              </w:rPr>
              <w:fldChar w:fldCharType="begin"/>
              <w:instrText xml:space="preserve">X {"Y":4}</w:instrText>
              <w:fldChar w:fldCharType="separate"/>
              <w:t xml:space="preserve">Shartnoma tuzilgan joy</w:t>
            </w:r>
            <w:r>
              <w:rPr>
                <w:vanish w:val="false"/>
              </w:rPr>
              <w:fldChar w:fldCharType="end"/>
            </w:r>
          </w:p>
          <w:p>
            <w:pPr>
              <w:pStyle w:val="a7"/>
              <w:jc w:val="center"/>
              <w:rPr>
                <w:b/>
                <w:rFonts w:ascii="Times New Roman" w:hAnsi="Times New Roman"/>
              </w:rPr>
            </w:pPr>
          </w:p>
        </w:tc>
      </w:tr>
    </w:tbl>
    <w:p>
      <w:pPr>
        <w:jc w:val="right"/>
        <w:rPr>
          <w:b/>
          <w:sz w:val="24"/>
        </w:rPr>
      </w:pPr>
      <w:r>
        <w:rPr>
          <w:sz w:val="24"/>
        </w:rPr>
      </w:r>
    </w:p>
    <w:p>
      <w:pPr>
        <w:jc w:val="both"/>
        <w:ind w:firstLine="708"/>
        <w:rPr>
          <w:b/>
          <w:color w:val="000000"/>
        </w:rPr>
      </w:pPr>
      <w:r>
        <w:rPr>
          <w:vanish w:val="false"/>
          <w:sz w:val="24"/>
          <w:rFonts w:ascii="Times New Roman" w:hAnsi="Times New Roman"/>
        </w:rPr>
        <w:fldChar w:fldCharType="begin"/>
        <w:instrText xml:space="preserve">X {"Y":15}</w:instrText>
        <w:fldChar w:fldCharType="separate"/>
        <w:t xml:space="preserve">KreditorKreditor bankning nomi va tashkiliy huquqiy shakli</w:t>
      </w:r>
      <w:r>
        <w:rPr>
          <w:vanish w:val="false"/>
          <w:sz w:val="24"/>
          <w:rFonts w:ascii="Times New Roman" w:hAnsi="Times New Roman"/>
        </w:rPr>
        <w:fldChar w:fldCharType="end"/>
      </w:r>
      <w:r>
        <w:rPr>
          <w:sz w:val="24"/>
        </w:rPr>
        <w:t xml:space="preserve"> banki nomidan </w:t>
      </w:r>
      <w:r>
        <w:rPr>
          <w:sz w:val="24"/>
        </w:rPr>
        <w:fldChar w:fldCharType="begin"/>
        <w:instrText xml:space="preserve">X {"Y":16}</w:instrText>
        <w:fldChar w:fldCharType="separate"/>
        <w:t xml:space="preserve">Bank boshqaruvchisiga ishonchnoma berilgan sana</w:t>
      </w:r>
      <w:r>
        <w:rPr>
          <w:sz w:val="24"/>
        </w:rPr>
        <w:fldChar w:fldCharType="end"/>
      </w:r>
      <w:r>
        <w:rPr>
          <w:sz w:val="24"/>
        </w:rPr>
        <w:t xml:space="preserve">dagi </w:t>
      </w:r>
      <w:r>
        <w:rPr>
          <w:sz w:val="24"/>
        </w:rPr>
        <w:fldChar w:fldCharType="begin"/>
        <w:instrText xml:space="preserve">X {"Y":17}</w:instrText>
        <w:fldChar w:fldCharType="separate"/>
        <w:t xml:space="preserve">Bank boshqaruvchisiga berilgan ishonchnoma raqami</w:t>
      </w:r>
      <w:r>
        <w:rPr>
          <w:sz w:val="24"/>
        </w:rPr>
        <w:fldChar w:fldCharType="end"/>
      </w:r>
      <w:r>
        <w:rPr>
          <w:sz w:val="24"/>
        </w:rPr>
        <w:t xml:space="preserve">-sonli ishonchnoma asosida faoliyat yurituvchi </w:t>
      </w:r>
      <w:r>
        <w:rPr>
          <w:sz w:val="24"/>
        </w:rPr>
        <w:fldChar w:fldCharType="begin"/>
        <w:instrText xml:space="preserve">X {"Y":18}</w:instrText>
        <w:fldChar w:fldCharType="separate"/>
        <w:t xml:space="preserve">Bank boshqaruvchisining F.I.O.si</w:t>
      </w:r>
      <w:r>
        <w:rPr>
          <w:sz w:val="24"/>
        </w:rPr>
        <w:fldChar w:fldCharType="end"/>
      </w:r>
      <w:r>
        <w:rPr>
          <w:sz w:val="24"/>
        </w:rPr>
        <w:t xml:space="preserve">  (keyinchalik matnda – “Kreditor” deb yuritiladi) bir tomondan, </w:t>
      </w:r>
      <w:r>
        <w:rPr>
          <w:sz w:val="24"/>
        </w:rPr>
        <w:fldChar w:fldCharType="begin"/>
        <w:instrText xml:space="preserve">X {"Y":8}</w:instrText>
        <w:fldChar w:fldCharType="separate"/>
        <w:t xml:space="preserve">Qarz oluvchining manzili</w:t>
      </w:r>
      <w:r>
        <w:rPr>
          <w:sz w:val="24"/>
        </w:rPr>
        <w:fldChar w:fldCharType="end"/>
      </w:r>
      <w:r>
        <w:rPr>
          <w:sz w:val="24"/>
        </w:rPr>
        <w:t xml:space="preserve">manzilida yashovchi fuqaro</w:t>
      </w:r>
      <w:r>
        <w:rPr>
          <w:sz w:val="24"/>
        </w:rPr>
        <w:fldChar w:fldCharType="begin"/>
        <w:instrText xml:space="preserve">X {"Y":6}</w:instrText>
        <w:fldChar w:fldCharType="separate"/>
        <w:t xml:space="preserve">Qarz oluvchining F.I.Osi</w:t>
      </w:r>
      <w:r>
        <w:rPr>
          <w:sz w:val="24"/>
        </w:rPr>
        <w:fldChar w:fldCharType="end"/>
      </w:r>
      <w:r>
        <w:rPr>
          <w:sz w:val="24"/>
        </w:rPr>
        <w:t xml:space="preserve">si, (keyinchalik matnda – “Qarz oluvchi”) ikkinchi tarafdan ushbu shartnomani quyidagilar haqida tuzdilar:</w:t>
      </w:r>
    </w:p>
    <w:p>
      <w:pPr>
        <w:jc w:val="both"/>
        <w:ind w:firstLine="567"/>
        <w:rPr>
          <w:sz w:val="24"/>
        </w:rPr>
      </w:pPr>
    </w:p>
    <w:p>
      <w:pPr>
        <w:rPr>
          <w:b/>
          <w:sz w:val="8"/>
        </w:rPr>
      </w:pPr>
    </w:p>
    <w:p>
      <w:pPr>
        <w:numPr>
          <w:numId w:val="3"/>
          <w:ilvl w:val="0"/>
        </w:numPr>
        <w:jc w:val="center"/>
        <w:ind w:left="0" w:firstLine="0"/>
        <w:tabs>
          <w:tab w:val="left" w:pos="284"/>
        </w:tabs>
        <w:rPr>
          <w:b/>
          <w:sz w:val="24"/>
          <w:rFonts w:ascii="Times New Roman" w:hAnsi="Times New Roman"/>
        </w:rPr>
      </w:pPr>
      <w:r>
        <w:rPr>
          <w:b/>
          <w:sz w:val="24"/>
        </w:rPr>
        <w:t xml:space="preserve">SHARTNOMA   PREDMETI</w:t>
      </w:r>
    </w:p>
    <w:p>
      <w:pPr>
        <w:tabs>
          <w:tab w:val="left" w:pos="284"/>
        </w:tabs>
        <w:rPr>
          <w:b/>
          <w:sz w:val="24"/>
        </w:rPr>
      </w:pPr>
    </w:p>
    <w:p>
      <w:pPr>
        <w:numPr>
          <w:numId w:val="3"/>
          <w:ilvl w:val="1"/>
        </w:numPr>
        <w:jc w:val="both"/>
        <w:ind w:left="0" w:firstLine="426"/>
        <w:rPr>
          <w:sz w:val="24"/>
          <w:rFonts w:ascii="Times New Roman" w:hAnsi="Times New Roman"/>
        </w:rPr>
      </w:pPr>
      <w:r>
        <w:rPr>
          <w:sz w:val="24"/>
        </w:rPr>
        <w:t xml:space="preserve">Bank Qarz oluvchiga mazkur shartnomada koʻrsatib oʻtilgan miqdorda va shartlarda mikroqarz ajratish, qarz oluvchi esa olingan mikroqarzni belgilangan muddatda Kreditorga qaytarish va pul mablagʻlaridan foydalanganlik uchun foizlarni toʻlash majburiyatini oladi.</w:t>
      </w:r>
    </w:p>
    <w:p>
      <w:pPr>
        <w:jc w:val="both"/>
        <w:rPr>
          <w:sz w:val="24"/>
        </w:rPr>
      </w:pPr>
    </w:p>
    <w:p>
      <w:pPr>
        <w:pStyle w:val="a5"/>
        <w:numPr>
          <w:numId w:val="3"/>
          <w:ilvl w:val="0"/>
        </w:numPr>
        <w:jc w:val="center"/>
        <w:tabs>
          <w:tab w:val="left" w:pos="284"/>
        </w:tabs>
        <w:rPr>
          <w:b/>
          <w:sz w:val="24"/>
          <w:rFonts w:ascii="Times New Roman" w:hAnsi="Times New Roman"/>
        </w:rPr>
      </w:pPr>
      <w:r>
        <w:rPr>
          <w:b/>
          <w:sz w:val="24"/>
        </w:rPr>
        <w:t xml:space="preserve">SHARTNOMA BAHOSI VA HISOB-KITOB QILISH TARTIBI.</w:t>
      </w:r>
    </w:p>
    <w:p>
      <w:pPr>
        <w:pStyle w:val="a5"/>
        <w:ind w:left="720"/>
        <w:tabs>
          <w:tab w:val="left" w:pos="284"/>
        </w:tabs>
        <w:rPr>
          <w:b/>
          <w:sz w:val="24"/>
          <w:rFonts w:ascii="Times New Roman" w:hAnsi="Times New Roman"/>
        </w:rPr>
      </w:pPr>
    </w:p>
    <w:p>
      <w:pPr>
        <w:pStyle w:val="a5"/>
        <w:numPr>
          <w:numId w:val="3"/>
          <w:ilvl w:val="1"/>
        </w:numPr>
        <w:jc w:val="both"/>
        <w:ind w:left="0" w:firstLine="426"/>
        <w:rPr>
          <w:sz w:val="24"/>
          <w:rFonts w:ascii="Times New Roman" w:hAnsi="Times New Roman"/>
        </w:rPr>
      </w:pPr>
      <w:r>
        <w:rPr>
          <w:sz w:val="24"/>
        </w:rPr>
        <w:t xml:space="preserve">Mikroqarz summasi: </w:t>
      </w:r>
      <w:r>
        <w:rPr>
          <w:sz w:val="24"/>
        </w:rPr>
        <w:fldChar w:fldCharType="begin"/>
        <w:instrText xml:space="preserve">X {"Y":24}</w:instrText>
        <w:fldChar w:fldCharType="separate"/>
      </w:r>
      <w:r>
        <w:rPr>
          <w:sz w:val="24"/>
        </w:rPr>
        <w:t xml:space="preserve">Mikroqarz summasi</w:t>
        <w:fldChar w:fldCharType="end"/>
      </w:r>
      <w:r>
        <w:rPr>
          <w:sz w:val="24"/>
        </w:rPr>
        <w:t xml:space="preserve"> soʻm.</w:t>
      </w:r>
    </w:p>
    <w:p>
      <w:pPr>
        <w:pStyle w:val="a5"/>
        <w:numPr>
          <w:numId w:val="3"/>
          <w:ilvl w:val="1"/>
        </w:numPr>
        <w:jc w:val="both"/>
        <w:ind w:left="0" w:firstLine="426"/>
        <w:rPr>
          <w:sz w:val="24"/>
          <w:rFonts w:ascii="Times New Roman" w:hAnsi="Times New Roman"/>
        </w:rPr>
      </w:pPr>
      <w:r>
        <w:rPr>
          <w:sz w:val="24"/>
        </w:rPr>
        <w:t xml:space="preserve">Mikroqarzdan foydalanish muddati: </w:t>
      </w:r>
      <w:r>
        <w:rPr>
          <w:sz w:val="24"/>
        </w:rPr>
        <w:fldChar w:fldCharType="begin"/>
        <w:instrText xml:space="preserve">X {"Y":25}</w:instrText>
        <w:fldChar w:fldCharType="separate"/>
      </w:r>
      <w:r>
        <w:rPr>
          <w:sz w:val="24"/>
        </w:rPr>
        <w:t xml:space="preserve">Mikroqarzdan foydalanish muddati (oy)</w:t>
        <w:fldChar w:fldCharType="end"/>
      </w:r>
      <w:r>
        <w:rPr>
          <w:sz w:val="24"/>
        </w:rPr>
        <w:t xml:space="preserve"> oy.</w:t>
      </w:r>
    </w:p>
    <w:p>
      <w:pPr>
        <w:pStyle w:val="a5"/>
        <w:numPr>
          <w:numId w:val="3"/>
          <w:ilvl w:val="1"/>
        </w:numPr>
        <w:jc w:val="both"/>
        <w:ind w:left="0" w:firstLine="426"/>
        <w:rPr>
          <w:sz w:val="24"/>
          <w:rFonts w:ascii="Times New Roman" w:hAnsi="Times New Roman"/>
        </w:rPr>
      </w:pPr>
      <w:r>
        <w:rPr>
          <w:sz w:val="24"/>
        </w:rPr>
        <w:t xml:space="preserve">Mikroqarz summasining soʻnggi qaytarish sanasi: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Mikroqarz summasining soʻnggi qaytarish sanasi</w:t>
        <w:fldChar w:fldCharType="end"/>
      </w:r>
    </w:p>
    <w:p>
      <w:pPr>
        <w:pStyle w:val="a5"/>
        <w:numPr>
          <w:numId w:val="3"/>
          <w:ilvl w:val="1"/>
        </w:numPr>
        <w:jc w:val="both"/>
        <w:ind w:left="0" w:firstLine="426"/>
        <w:rPr>
          <w:sz w:val="24"/>
          <w:rFonts w:ascii="Times New Roman" w:hAnsi="Times New Roman"/>
        </w:rPr>
      </w:pPr>
      <w:r>
        <w:rPr>
          <w:vanish w:val="false"/>
          <w:sz w:val="24"/>
          <w:rFonts w:ascii="Times New Roman" w:hAnsi="Times New Roman"/>
        </w:rPr>
        <w:t xml:space="preserve">Mikroqarz boʻyicha foiz stavkasi: Yillik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Mikroqarz boʻyicha yillik foiz stavkasi</w:t>
        <w:fldChar w:fldCharType="end"/>
      </w:r>
    </w:p>
    <w:p>
      <w:pPr>
        <w:pStyle w:val="a5"/>
        <w:numPr>
          <w:numId w:val="3"/>
          <w:ilvl w:val="1"/>
        </w:numPr>
        <w:jc w:val="both"/>
        <w:ind w:left="0" w:firstLine="426"/>
        <w:rPr>
          <w:sz w:val="24"/>
          <w:rFonts w:ascii="Times New Roman" w:hAnsi="Times New Roman"/>
        </w:rPr>
      </w:pPr>
      <w:r>
        <w:rPr>
          <w:vanish w:val="false"/>
          <w:sz w:val="24"/>
          <w:rFonts w:ascii="Times New Roman" w:hAnsi="Times New Roman"/>
        </w:rPr>
        <w:t xml:space="preserve">Mikroqarz naqd pulsiz shaklda bank kartasiga oʻtkazish yoʻli bilan ajratiladi.</w:t>
      </w:r>
    </w:p>
    <w:p>
      <w:pPr>
        <w:pStyle w:val="a5"/>
        <w:numPr>
          <w:numId w:val="3"/>
          <w:ilvl w:val="1"/>
        </w:numPr>
        <w:jc w:val="both"/>
        <w:ind w:left="0" w:firstLine="426"/>
        <w:rPr>
          <w:sz w:val="24"/>
          <w:rFonts w:ascii="Times New Roman" w:hAnsi="Times New Roman"/>
        </w:rPr>
      </w:pPr>
      <w:r>
        <w:rPr>
          <w:vanish w:val="false"/>
          <w:sz w:val="24"/>
          <w:rFonts w:ascii="Times New Roman" w:hAnsi="Times New Roman"/>
        </w:rPr>
        <w:t xml:space="preserve">Mikroqarz boʻyicha asosiy qarzni qaytarish muddati ushbu shartnomaning ilovasi va  ajralmas qismi boʻlgan qaytarish jadvali asosida amalga oshiriladi.</w:t>
      </w:r>
    </w:p>
    <w:p>
      <w:pPr>
        <w:pStyle w:val="a5"/>
        <w:numPr>
          <w:numId w:val="3"/>
          <w:ilvl w:val="1"/>
        </w:numPr>
        <w:jc w:val="both"/>
        <w:ind w:left="0" w:firstLine="426"/>
        <w:rPr>
          <w:sz w:val="24"/>
          <w:rFonts w:ascii="Times New Roman" w:hAnsi="Times New Roman"/>
        </w:rPr>
      </w:pPr>
      <w:r>
        <w:rPr>
          <w:vanish w:val="false"/>
          <w:sz w:val="24"/>
          <w:rFonts w:ascii="Times New Roman" w:hAnsi="Times New Roman"/>
        </w:rPr>
        <w:t xml:space="preserve">Mikroqarz va unga hisoblangan foizlarni qaytarish Qarz oluvchining istagiga koʻra, bankning masofaviy bank xizmatlari dasturi orqali, naqd pul, pul oʻtkazish yoʻli bilan va qonunchilik hujjatlariga zid kelmaydigan boshqa toʻlov usullari bilan amalga oshiriladi. </w:t>
      </w:r>
    </w:p>
    <w:p>
      <w:pPr>
        <w:pStyle w:val="a5"/>
        <w:numPr>
          <w:numId w:val="3"/>
          <w:ilvl w:val="1"/>
        </w:numPr>
        <w:jc w:val="both"/>
        <w:ind w:left="0" w:firstLine="426"/>
        <w:contextualSpacing/>
        <w:tabs>
          <w:tab w:val="left" w:pos="1167"/>
        </w:tabs>
        <w:rPr>
          <w:sz w:val="24"/>
          <w:rFonts w:ascii="Times New Roman" w:hAnsi="Times New Roman"/>
        </w:rPr>
      </w:pPr>
      <w:r>
        <w:rPr>
          <w:vanish w:val="false"/>
          <w:sz w:val="24"/>
          <w:rFonts w:ascii="Times New Roman" w:hAnsi="Times New Roman"/>
        </w:rPr>
        <w:t xml:space="preserve">Qarz oluvchi tomonidan kredit va foizlarni qoplash uchun amalga oshirilgan toʻlovlar quyidagi navbatda kreditni soʻndirishga yoʻnaltiriladi:</w:t>
      </w:r>
    </w:p>
    <w:p>
      <w:pPr>
        <w:pStyle w:val="a5"/>
        <w:jc w:val="both"/>
        <w:ind w:left="142" w:firstLine="284"/>
        <w:rPr>
          <w:sz w:val="24"/>
          <w:rFonts w:ascii="Times New Roman" w:hAnsi="Times New Roman"/>
        </w:rPr>
      </w:pPr>
      <w:r>
        <w:rPr>
          <w:vanish w:val="false"/>
          <w:sz w:val="24"/>
          <w:rFonts w:ascii="Times New Roman" w:hAnsi="Times New Roman"/>
        </w:rPr>
        <w:t xml:space="preserve">- neustoyka;</w:t>
      </w:r>
    </w:p>
    <w:p>
      <w:pPr>
        <w:jc w:val="both"/>
        <w:ind w:firstLine="425"/>
        <w:rPr>
          <w:sz w:val="24"/>
        </w:rPr>
      </w:pPr>
      <w:r>
        <w:rPr>
          <w:vanish w:val="false"/>
          <w:sz w:val="24"/>
          <w:rFonts w:ascii="Times New Roman" w:hAnsi="Times New Roman"/>
        </w:rPr>
        <w:t xml:space="preserve">- muddati oʻtgan kredit foizi;</w:t>
      </w:r>
    </w:p>
    <w:p>
      <w:pPr>
        <w:jc w:val="both"/>
        <w:ind w:firstLine="425"/>
        <w:rPr>
          <w:sz w:val="24"/>
        </w:rPr>
      </w:pPr>
      <w:r>
        <w:rPr>
          <w:vanish w:val="false"/>
          <w:sz w:val="24"/>
          <w:rFonts w:ascii="Times New Roman" w:hAnsi="Times New Roman"/>
        </w:rPr>
        <w:t xml:space="preserve">- muddati oʻtgan kredit boʻyicha asosiy qarz;</w:t>
      </w:r>
    </w:p>
    <w:p>
      <w:pPr>
        <w:jc w:val="both"/>
        <w:ind w:firstLine="425"/>
        <w:rPr>
          <w:sz w:val="24"/>
        </w:rPr>
      </w:pPr>
      <w:r>
        <w:rPr>
          <w:vanish w:val="false"/>
          <w:sz w:val="24"/>
          <w:rFonts w:ascii="Times New Roman" w:hAnsi="Times New Roman"/>
        </w:rPr>
        <w:t xml:space="preserve">- muddatli kredit foizi;</w:t>
      </w:r>
    </w:p>
    <w:p>
      <w:pPr>
        <w:jc w:val="both"/>
        <w:ind w:firstLine="425"/>
        <w:rPr>
          <w:sz w:val="24"/>
        </w:rPr>
      </w:pPr>
      <w:r>
        <w:rPr>
          <w:vanish w:val="false"/>
          <w:sz w:val="24"/>
          <w:rFonts w:ascii="Times New Roman" w:hAnsi="Times New Roman"/>
        </w:rPr>
        <w:t xml:space="preserve">- muddatli kredit boʻyicha asosiy qarz.</w:t>
      </w:r>
    </w:p>
    <w:p>
      <w:pPr>
        <w:jc w:val="center"/>
        <w:rPr>
          <w:b/>
          <w:sz w:val="24"/>
        </w:rPr>
      </w:pPr>
      <w:r>
        <w:rPr>
          <w:vanish w:val="false"/>
        </w:rPr>
      </w:r>
    </w:p>
    <w:p>
      <w:pPr>
        <w:pStyle w:val="a5"/>
        <w:numPr>
          <w:numId w:val="3"/>
          <w:ilvl w:val="0"/>
        </w:numPr>
        <w:jc w:val="center"/>
        <w:rPr>
          <w:b/>
          <w:sz w:val="24"/>
          <w:rFonts w:ascii="Times New Roman" w:hAnsi="Times New Roman"/>
        </w:rPr>
      </w:pPr>
      <w:r>
        <w:rPr>
          <w:b/>
          <w:vanish w:val="false"/>
          <w:sz w:val="24"/>
          <w:rFonts w:ascii="Times New Roman" w:hAnsi="Times New Roman"/>
        </w:rPr>
        <w:t xml:space="preserve">TOMONLARNING MAJBURIYATLARI.</w:t>
      </w:r>
    </w:p>
    <w:p>
      <w:pPr>
        <w:pStyle w:val="a5"/>
        <w:ind w:left="720"/>
        <w:rPr>
          <w:b/>
          <w:sz w:val="24"/>
          <w:rFonts w:ascii="Times New Roman" w:hAnsi="Times New Roman"/>
        </w:rPr>
      </w:pPr>
      <w:r>
        <w:rPr>
          <w:vanish w:val="false"/>
        </w:rPr>
      </w:r>
    </w:p>
    <w:p>
      <w:pPr>
        <w:jc w:val="both"/>
        <w:ind w:left="567"/>
        <w:tabs>
          <w:tab w:val="left" w:pos="567"/>
        </w:tabs>
        <w:rPr>
          <w:b/>
          <w:sz w:val="24"/>
        </w:rPr>
      </w:pPr>
      <w:r>
        <w:rPr>
          <w:b/>
          <w:vanish w:val="false"/>
          <w:sz w:val="24"/>
          <w:rFonts w:ascii="Times New Roman" w:hAnsi="Times New Roman"/>
        </w:rPr>
        <w:t xml:space="preserve">3.1. Qarz oluvchining majburiyatlari:</w:t>
      </w:r>
    </w:p>
    <w:p>
      <w:pPr>
        <w:jc w:val="both"/>
        <w:ind w:firstLine="426"/>
        <w:rPr>
          <w:sz w:val="24"/>
        </w:rPr>
      </w:pPr>
      <w:r>
        <w:rPr>
          <w:vanish w:val="false"/>
          <w:sz w:val="24"/>
          <w:rFonts w:ascii="Times New Roman" w:hAnsi="Times New Roman"/>
        </w:rPr>
        <w:t xml:space="preserve">3.1.1. Mikroqarz va unga hisoblangan foizlarni ushbu shartnomaning ajralmas qismi hisoblangan ilovaga muvofiq mikroqarzni soʻndirish jadvalida belgilangan muddatlarda toʻlash;</w:t>
      </w:r>
    </w:p>
    <w:p>
      <w:pPr>
        <w:jc w:val="both"/>
        <w:ind w:firstLine="426"/>
        <w:rPr>
          <w:sz w:val="24"/>
        </w:rPr>
      </w:pPr>
      <w:r>
        <w:rPr>
          <w:vanish w:val="false"/>
          <w:sz w:val="24"/>
          <w:rFonts w:ascii="Times New Roman" w:hAnsi="Times New Roman"/>
        </w:rPr>
        <w:t xml:space="preserve">3.1.2. Mikroqarzdan foydalanish davomida mikroqarzning asosiy tamoyillari: muddatlilik, qaytarishlilik, toʻlovlilikka hamda taʼminlanganlikka rioya qilish;</w:t>
      </w:r>
    </w:p>
    <w:p>
      <w:pPr>
        <w:jc w:val="both"/>
        <w:ind w:firstLine="426"/>
        <w:rPr>
          <w:sz w:val="24"/>
        </w:rPr>
      </w:pPr>
      <w:r>
        <w:rPr>
          <w:vanish w:val="false"/>
          <w:sz w:val="24"/>
          <w:rFonts w:ascii="Times New Roman" w:hAnsi="Times New Roman"/>
        </w:rPr>
        <w:t xml:space="preserve">3.1.3. Kreditorka yashash manzilini, telefon raqamlarini (uyali, uy, ish) elektron pochta manzili haqidagi haqiqiy maʼlumotlarni taqdim etish;</w:t>
      </w:r>
    </w:p>
    <w:p>
      <w:pPr>
        <w:jc w:val="both"/>
        <w:ind w:firstLine="426"/>
        <w:rPr>
          <w:sz w:val="24"/>
        </w:rPr>
      </w:pPr>
      <w:r>
        <w:rPr>
          <w:vanish w:val="false"/>
          <w:sz w:val="24"/>
          <w:rFonts w:ascii="Times New Roman" w:hAnsi="Times New Roman"/>
        </w:rPr>
        <w:t xml:space="preserve">3.1.4. Mazkur shartnomada belgilangan majburiyatlarini bajarilishiga salbiy taʼsir koʻrsatadigan holatlar toʻgʻrisida yozma shaklda yoki oʻzlari uchun maqbul boʻlgan boshqa aloqa kanallari orqali 5 (besh) kun ichida Kreditorga xabar berish. Ushbu talab bajarilmasligi oqibatida kelib chiqqan salbiy holatlarga Qarz oluvchi javobgar hisoblanadi;</w:t>
      </w:r>
    </w:p>
    <w:p>
      <w:pPr>
        <w:jc w:val="both"/>
        <w:ind w:firstLine="426"/>
        <w:rPr>
          <w:sz w:val="24"/>
        </w:rPr>
      </w:pPr>
      <w:r>
        <w:rPr>
          <w:vanish w:val="false"/>
          <w:sz w:val="24"/>
          <w:rFonts w:ascii="Times New Roman" w:hAnsi="Times New Roman"/>
        </w:rPr>
        <w:t xml:space="preserve">3.1.5. Garovga qoʻyilgan mulkka shikast yetkazilganda, turli sabablarga koʻra yaroqsiz holga kelib qolganda yoki mikroqarz taʼminoti sifatida uchinchi shaxslar kafilligi olingan holda kafil toʻlovga qobiliyatini yoʻqotganda yoki vafot etganda yoxud turli sabablarga koʻra mehnatga yaroqsiz boʻlib qolgan taqdirda zudlik bilan Kreditorga xabar berish va garov mulkini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Garovga qoʻyilgan mulkka shikast yetkazilganda, yaroqsiz holga kelganda yoki kafil toʻlov qobiliyatini yoʻqotganda qarz oluvchi bu haqida necha ish kuni ichida kreditorga xabar berishi lozim</w:t>
        <w:fldChar w:fldCharType="end"/>
      </w:r>
      <w:r>
        <w:rPr>
          <w:vanish w:val="false"/>
          <w:sz w:val="24"/>
          <w:rFonts w:ascii="Times New Roman" w:hAnsi="Times New Roman"/>
        </w:rPr>
        <w:t xml:space="preserve"> ish kunida yuqori likvidli boshqa mulkka almashtirish;</w:t>
      </w:r>
    </w:p>
    <w:p>
      <w:pPr>
        <w:jc w:val="both"/>
        <w:ind w:firstLine="426"/>
        <w:rPr>
          <w:sz w:val="24"/>
        </w:rPr>
      </w:pPr>
      <w:r>
        <w:rPr>
          <w:vanish w:val="false"/>
          <w:sz w:val="24"/>
          <w:rFonts w:ascii="Times New Roman" w:hAnsi="Times New Roman"/>
        </w:rPr>
        <w:t xml:space="preserve">3.1.6. Kreditni qaytarish jadvalidagidan ortiqcha toʻlangan mablagʻ kelgusi davrlardagi asosiy qarzni soʻndirishga rejalashtirilgan boʻlsa, u holda toʻlov amalga oshirilgan kundan kechiktirmay Kreditorga bu haqida yozma yoki shaxsiy kabineti orqali murojaat qilish;</w:t>
      </w:r>
    </w:p>
    <w:p>
      <w:pPr>
        <w:jc w:val="both"/>
        <w:ind w:left="426"/>
        <w:contextualSpacing/>
        <w:rPr>
          <w:sz w:val="24"/>
        </w:rPr>
      </w:pPr>
      <w:r>
        <w:rPr>
          <w:vanish w:val="false"/>
          <w:sz w:val="24"/>
          <w:rFonts w:ascii="Times New Roman" w:hAnsi="Times New Roman"/>
        </w:rPr>
        <w:t xml:space="preserve">3.1.7. Shaxsiy bank kartasini Kreditorning masofaviy bank xizmatlari dasturlariga ulash.</w:t>
      </w:r>
    </w:p>
    <w:p>
      <w:pPr>
        <w:jc w:val="both"/>
        <w:ind w:firstLine="426"/>
        <w:rPr>
          <w:sz w:val="24"/>
        </w:rPr>
      </w:pPr>
      <w:r>
        <w:rPr>
          <w:vanish w:val="false"/>
        </w:rPr>
      </w:r>
    </w:p>
    <w:p>
      <w:pPr>
        <w:jc w:val="both"/>
        <w:ind w:left="567"/>
        <w:rPr>
          <w:b/>
          <w:sz w:val="24"/>
        </w:rPr>
      </w:pPr>
      <w:r>
        <w:rPr>
          <w:b/>
          <w:vanish w:val="false"/>
          <w:sz w:val="24"/>
          <w:rFonts w:ascii="Times New Roman" w:hAnsi="Times New Roman"/>
        </w:rPr>
        <w:t xml:space="preserve">3.2. Kreditorning majburiyatlari:</w:t>
      </w:r>
    </w:p>
    <w:p>
      <w:pPr>
        <w:jc w:val="both"/>
        <w:ind w:firstLine="426"/>
        <w:rPr>
          <w:sz w:val="24"/>
        </w:rPr>
      </w:pPr>
      <w:r>
        <w:rPr>
          <w:vanish w:val="false"/>
          <w:sz w:val="24"/>
          <w:rFonts w:ascii="Times New Roman" w:hAnsi="Times New Roman"/>
        </w:rPr>
        <w:t xml:space="preserve">3.2.1. Qarz oluvchining huquq va majburiyatlari toʻgʻrisida, shu jumladan mikroqarz berish bilan bogʻliq barcha xarajatlar haqida Qarz oluvchiga ishonchli hamda toʻliq axborotni taqdim qilish;</w:t>
      </w:r>
    </w:p>
    <w:p>
      <w:pPr>
        <w:jc w:val="both"/>
        <w:ind w:firstLine="426"/>
        <w:rPr>
          <w:sz w:val="24"/>
        </w:rPr>
      </w:pPr>
      <w:r>
        <w:rPr>
          <w:vanish w:val="false"/>
          <w:sz w:val="24"/>
          <w:rFonts w:ascii="Times New Roman" w:hAnsi="Times New Roman"/>
        </w:rPr>
        <w:t xml:space="preserve">3.2.2. </w:t>
      </w:r>
      <w:r>
        <w:rPr>
          <w:rStyle w:val="20"/>
          <w:vanish w:val="false"/>
          <w:sz w:val="24"/>
          <w:rFonts w:ascii="Times New Roman" w:hAnsi="Times New Roman"/>
        </w:rPr>
        <w:t xml:space="preserve">Shartnomaning taʼminotga oid shartlari bajarilgach uch ish kunida mikroqarz berish;</w:t>
      </w:r>
    </w:p>
    <w:p>
      <w:pPr>
        <w:jc w:val="both"/>
        <w:ind w:firstLine="426"/>
        <w:rPr>
          <w:sz w:val="24"/>
        </w:rPr>
      </w:pPr>
      <w:r>
        <w:rPr>
          <w:vanish w:val="false"/>
          <w:sz w:val="24"/>
          <w:rFonts w:ascii="Times New Roman" w:hAnsi="Times New Roman"/>
        </w:rPr>
        <w:t xml:space="preserve">3.2.3. Qarz oluvchi nomiga ssuda hisobvaragʻi ochish;</w:t>
      </w:r>
    </w:p>
    <w:p>
      <w:pPr>
        <w:jc w:val="both"/>
        <w:ind w:firstLine="426"/>
        <w:rPr>
          <w:sz w:val="24"/>
        </w:rPr>
      </w:pPr>
      <w:r>
        <w:rPr>
          <w:vanish w:val="false"/>
          <w:sz w:val="24"/>
          <w:rFonts w:ascii="Times New Roman" w:hAnsi="Times New Roman"/>
        </w:rPr>
        <w:t xml:space="preserve">3.2.4. Qarz oluvchini mikrokqarzni muddatidan oldin undirish holati va sabablari haqida xabardor qilish;</w:t>
      </w:r>
    </w:p>
    <w:p>
      <w:pPr>
        <w:jc w:val="both"/>
        <w:ind w:firstLine="426"/>
        <w:rPr>
          <w:sz w:val="24"/>
        </w:rPr>
      </w:pPr>
      <w:r>
        <w:rPr>
          <w:vanish w:val="false"/>
          <w:sz w:val="24"/>
          <w:rFonts w:ascii="Times New Roman" w:hAnsi="Times New Roman"/>
        </w:rPr>
        <w:t xml:space="preserve">3.2.5. Qarz oluvchining tegishli soʻrovi Kreditorda roʻyxatdan oʻtkazilgan kundan boshlab besh ish kuni ichida Qarz oluvchi tomonidan berilgan ariza va Qarz oluvchiga mikroqarz berilganligini tasdiqlovchi hujjatni hamda bir ish kuni ichida shartnoma boʻyicha Qarz oluvchi tomonidan majburiyatlari toʻliq bajarilganligini tasdiqlovchi hujjat taqdim etish;</w:t>
      </w:r>
    </w:p>
    <w:p>
      <w:pPr>
        <w:jc w:val="both"/>
        <w:ind w:firstLine="426"/>
        <w:rPr>
          <w:sz w:val="24"/>
        </w:rPr>
      </w:pPr>
      <w:r>
        <w:rPr>
          <w:vanish w:val="false"/>
          <w:sz w:val="24"/>
          <w:rFonts w:ascii="Times New Roman" w:hAnsi="Times New Roman"/>
        </w:rPr>
        <w:t xml:space="preserve">3.2.6. Shartnoma boʻyicha Qarz oluvchidan majburiyatlari bajarilmasligi sabablari, holati, muddati, summalari, tarkibi haqida soʻrash, shuningdek majburiyatlar buzilgani uchun neustoyka qoʻllanishi natijasida xarajatlar summasi ortishi ehtimoli haqida ogohlantirish;</w:t>
      </w:r>
    </w:p>
    <w:p>
      <w:pPr>
        <w:jc w:val="both"/>
        <w:ind w:firstLine="426"/>
        <w:rPr>
          <w:sz w:val="24"/>
        </w:rPr>
      </w:pPr>
      <w:r>
        <w:rPr>
          <w:vanish w:val="false"/>
          <w:sz w:val="24"/>
          <w:rFonts w:ascii="Times New Roman" w:hAnsi="Times New Roman"/>
        </w:rPr>
        <w:t xml:space="preserve">3.2.7. Shartnoma boʻyicha muddati oʻtkazib yuborilgan qarzdorlik yuzaga kelganda, Qarz oluvchi bilan har qanday aloqa bogʻlash usullaridan, shu jumladan elektron aloqa vositalaridan yoki boshqa usullardan foydalanib, Qarz oluvchiga muddati oʻtkazib yuborilgan qarzdorlik yuzaga kelganligi haqida xabar berish;</w:t>
      </w:r>
    </w:p>
    <w:p>
      <w:pPr>
        <w:pStyle w:val="3"/>
        <w:jc w:val="both"/>
        <w:ind w:left="0" w:firstLine="426"/>
        <w:spacing w:after="0"/>
        <w:rPr>
          <w:sz w:val="24"/>
          <w:rFonts w:ascii="Times New Roman" w:hAnsi="Times New Roman"/>
        </w:rPr>
      </w:pPr>
      <w:r>
        <w:rPr>
          <w:vanish w:val="false"/>
          <w:sz w:val="24"/>
          <w:rFonts w:ascii="Times New Roman" w:hAnsi="Times New Roman"/>
        </w:rPr>
        <w:t xml:space="preserve">3.2.8. Mazkur shartnomaning 3.1.6-bandiga muvofiq Qarz oluvchining arizasi mavjud boʻlmagan holda, kreditning joriy toʻlovi uchun kreditni qaytarish jadvalida belgilangan summaga nisbatan koʻp mablagʻ kelib tushgan taqdirda, ushbu mablagʻning ortiqcha qismini toʻlov amalga oshirilgan kunning ertasidan kechiktirmay kreditning asosiy qarzini soʻndirishga yoʻnaltirish xamda kelgusi ish kunidan qoldiq summaga nisbatan foiz hisoblash;</w:t>
      </w:r>
    </w:p>
    <w:p>
      <w:pPr>
        <w:jc w:val="both"/>
        <w:ind w:firstLine="426"/>
        <w:rPr>
          <w:sz w:val="24"/>
        </w:rPr>
      </w:pPr>
      <w:r>
        <w:rPr>
          <w:vanish w:val="false"/>
          <w:sz w:val="24"/>
          <w:rFonts w:ascii="Times New Roman" w:hAnsi="Times New Roman"/>
        </w:rPr>
        <w:t xml:space="preserve">3.2.9. Ushbu shartnoma amal qilish davrida Qarz oluvchining soʻrovi olinganidan soʻng bir ish kuni ichida unga quyidagi axborotlarni yozma shaklda oyda bir marta bepul taqdim etish: kreditlash limiti, kredit boʻyicha toʻlangan pul mablagʻlari summasi, asosiy summa boʻyicha qarz qoldigʻi, navbatdagi toʻlovlarning miqdori, tarkibi va muddatlari (toʻlovlar jadvali), kreditni muddatidan oldin qisman yoki toʻliq soʻndirish istagi bildirilgan taqdirda toʻlash lozim boʻlgan summalar miqdori, muddati oʻtkazib yuborilgan qarzdorlik miqdori va tarkibi, kelib tushayotgan pul mablagʻlari kredit boʻyicha qarzni soʻndirishga yoʻnaltirilishi haqida axborotlar;</w:t>
      </w:r>
    </w:p>
    <w:p>
      <w:pPr>
        <w:jc w:val="both"/>
        <w:ind w:firstLine="426"/>
        <w:rPr>
          <w:sz w:val="24"/>
        </w:rPr>
      </w:pPr>
      <w:r>
        <w:rPr>
          <w:vanish w:val="false"/>
          <w:sz w:val="24"/>
          <w:rFonts w:ascii="Times New Roman" w:hAnsi="Times New Roman"/>
        </w:rPr>
        <w:t xml:space="preserve">3.2.10. Qarz oluvchi shartnoma boʻyicha barcha toʻlov majburiyatini toʻliq bajargan sanadan boshlab uch ish kunidan kechiktirmagan holda mazkur kredit boʻyicha garov mulkini taqiqdan chiqarish hamda garov mulkiga nisbatan bankning huquqlari toʻgʻrisidagi yozuvni garov reyestridan oʻchirish;</w:t>
      </w:r>
    </w:p>
    <w:p>
      <w:pPr>
        <w:jc w:val="both"/>
        <w:ind w:firstLine="426"/>
        <w:rPr>
          <w:sz w:val="24"/>
        </w:rPr>
      </w:pPr>
      <w:r>
        <w:rPr>
          <w:vanish w:val="false"/>
          <w:sz w:val="24"/>
          <w:rFonts w:ascii="Times New Roman" w:hAnsi="Times New Roman"/>
          <w:spacing w:val="0"/>
        </w:rPr>
        <w:t xml:space="preserve">3.2.11. </w:t>
      </w:r>
      <w:r>
        <w:rPr>
          <w:vanish w:val="false"/>
          <w:sz w:val="24"/>
          <w:rFonts w:ascii="Times New Roman" w:hAnsi="Times New Roman"/>
        </w:rPr>
        <w:t xml:space="preserve">Shartnomada nazarda tutilgan mikroqarzni berishdan butunlay yoki qisman bosh tortgan taqdirda, bu haqda tegishli qaror qabul qilingan sananing ertasidan kechikmasdan Qarz oluvchiga  yozma xabarnoma yuborish;</w:t>
      </w:r>
    </w:p>
    <w:p>
      <w:pPr>
        <w:jc w:val="both"/>
        <w:ind w:firstLine="426"/>
        <w:rPr>
          <w:sz w:val="24"/>
        </w:rPr>
      </w:pPr>
      <w:r>
        <w:rPr>
          <w:vanish w:val="false"/>
          <w:sz w:val="24"/>
          <w:rFonts w:ascii="Times New Roman" w:hAnsi="Times New Roman"/>
        </w:rPr>
        <w:t xml:space="preserve">3.2.12. Kredit shartnomasida koʻrsatib oʻtilgan foiz stavkasi oʻzgarganda yoki mazkur shartnomaning 3.2.8.-bandida belgilangan vaziyat yuz bergan taqdirda, kreditni qaytarish jadvalini yangidan rasmiylashtirish va Qarz oluvchiga taqdim etish. Bunda, shartnomaning ajralmas qismi hisoblangan qaytarish jadvali kuchini yoʻqotadi va taraflar uchun yangi qaytarish jadvali majburiy hisoblanadi;</w:t>
      </w:r>
    </w:p>
    <w:p>
      <w:pPr>
        <w:jc w:val="both"/>
        <w:ind w:firstLine="284"/>
        <w:rPr>
          <w:sz w:val="24"/>
        </w:rPr>
      </w:pPr>
      <w:r>
        <w:rPr>
          <w:vanish w:val="false"/>
          <w:sz w:val="24"/>
          <w:rFonts w:ascii="Times New Roman" w:hAnsi="Times New Roman"/>
        </w:rPr>
        <w:t xml:space="preserve">3.2.13. Ushbu shartnoma va qonunchilik hujjatlaridagi boshqa majburiyatlar.</w:t>
      </w:r>
    </w:p>
    <w:p>
      <w:pPr>
        <w:jc w:val="center"/>
        <w:rPr>
          <w:b/>
          <w:sz w:val="24"/>
        </w:rPr>
      </w:pPr>
      <w:r>
        <w:rPr>
          <w:vanish w:val="false"/>
        </w:rPr>
      </w:r>
    </w:p>
    <w:p>
      <w:pPr>
        <w:pStyle w:val="a5"/>
        <w:numPr>
          <w:numId w:val="3"/>
          <w:ilvl w:val="0"/>
        </w:numPr>
        <w:jc w:val="center"/>
        <w:rPr>
          <w:b/>
          <w:sz w:val="24"/>
          <w:rFonts w:ascii="Times New Roman" w:hAnsi="Times New Roman"/>
        </w:rPr>
      </w:pPr>
      <w:r>
        <w:rPr>
          <w:b/>
          <w:vanish w:val="false"/>
          <w:sz w:val="24"/>
          <w:rFonts w:ascii="Times New Roman" w:hAnsi="Times New Roman"/>
        </w:rPr>
        <w:t xml:space="preserve">TOMONLARNING HUQUQLARI.</w:t>
      </w:r>
    </w:p>
    <w:p>
      <w:pPr>
        <w:pStyle w:val="a5"/>
        <w:ind w:left="720"/>
        <w:rPr>
          <w:b/>
          <w:sz w:val="24"/>
          <w:rFonts w:ascii="Times New Roman" w:hAnsi="Times New Roman"/>
        </w:rPr>
      </w:pPr>
      <w:r>
        <w:rPr>
          <w:vanish w:val="false"/>
        </w:rPr>
      </w:r>
    </w:p>
    <w:p>
      <w:pPr>
        <w:ind w:left="567"/>
        <w:rPr>
          <w:b/>
          <w:sz w:val="24"/>
        </w:rPr>
      </w:pPr>
      <w:r>
        <w:rPr>
          <w:b/>
          <w:vanish w:val="false"/>
          <w:sz w:val="24"/>
          <w:rFonts w:ascii="Times New Roman" w:hAnsi="Times New Roman"/>
        </w:rPr>
        <w:t xml:space="preserve">4.1. Qarz oluvchining huquqlari:</w:t>
      </w:r>
    </w:p>
    <w:p>
      <w:pPr>
        <w:jc w:val="both"/>
        <w:ind w:firstLine="426"/>
        <w:rPr>
          <w:sz w:val="24"/>
        </w:rPr>
      </w:pPr>
      <w:r>
        <w:rPr>
          <w:vanish w:val="false"/>
          <w:sz w:val="24"/>
          <w:rFonts w:ascii="Times New Roman" w:hAnsi="Times New Roman"/>
        </w:rPr>
        <w:t xml:space="preserve">4.1.1. Oʻz huquq va majburiyatlari toʻgʻrisida, shu jumladan mikroqarz berish bilan bogʻliq barcha xarajatlar haqida ishonchli hamda toʻliq axborot olish.</w:t>
      </w:r>
    </w:p>
    <w:p>
      <w:pPr>
        <w:jc w:val="both"/>
        <w:ind w:firstLine="426"/>
        <w:rPr>
          <w:sz w:val="24"/>
        </w:rPr>
      </w:pPr>
      <w:r>
        <w:rPr>
          <w:vanish w:val="false"/>
          <w:sz w:val="24"/>
          <w:rFonts w:ascii="Times New Roman" w:hAnsi="Times New Roman"/>
        </w:rPr>
        <w:t xml:space="preserve">4.1.2. Mikroqarzni muddatidan oldin qaytarish. Bunda, mikroqarz uchun foizlar mikroqarz toʻliq qaytarilgan kungacha mazkur shartnomaning 2.4.-bandiga muvofiq hisoblanadi;</w:t>
      </w:r>
    </w:p>
    <w:p>
      <w:pPr>
        <w:jc w:val="both"/>
        <w:ind w:firstLine="426"/>
        <w:rPr>
          <w:sz w:val="24"/>
        </w:rPr>
      </w:pPr>
      <w:r>
        <w:rPr>
          <w:vanish w:val="false"/>
          <w:sz w:val="24"/>
          <w:rFonts w:ascii="Times New Roman" w:hAnsi="Times New Roman"/>
        </w:rPr>
        <w:t xml:space="preserve">4.1.4. Mikroqarz ajratish va hisob-kitoblar boʻyicha amaldagi qonunchilik va Kreditorning ichki meʼyoriy hujjatlaridagi oʻzgarishlar haqida Kreditordan maʼlumot olish; </w:t>
      </w:r>
    </w:p>
    <w:p>
      <w:pPr>
        <w:jc w:val="both"/>
        <w:ind w:firstLine="426"/>
        <w:rPr>
          <w:sz w:val="24"/>
        </w:rPr>
      </w:pPr>
      <w:r>
        <w:rPr>
          <w:vanish w:val="false"/>
          <w:sz w:val="24"/>
          <w:rFonts w:ascii="Times New Roman" w:hAnsi="Times New Roman"/>
        </w:rPr>
        <w:t xml:space="preserve">4.1.5. Kreditordan majburiyatlarning  oʻz vaqtida va lozim darajada bajarilishini talab qilish, majburiyatlarning bajarilmaganligi yoki lozim darajada bajarilmaganligi natijasida yetkazilgan zararlarning oʻrnini qoplashni talab qilish;</w:t>
      </w:r>
    </w:p>
    <w:p>
      <w:pPr>
        <w:jc w:val="both"/>
        <w:ind w:firstLine="426"/>
        <w:rPr>
          <w:sz w:val="24"/>
        </w:rPr>
      </w:pPr>
      <w:r>
        <w:rPr>
          <w:vanish w:val="false"/>
          <w:sz w:val="24"/>
          <w:rFonts w:ascii="Times New Roman" w:hAnsi="Times New Roman"/>
        </w:rPr>
        <w:t xml:space="preserve">4.1.6. Olingan mikroqarz toʻlovlarini masofaviy bank xizmatlaridan foydalangan holda amalga oshirish;</w:t>
      </w:r>
    </w:p>
    <w:p>
      <w:pPr>
        <w:jc w:val="both"/>
        <w:ind w:firstLine="426"/>
        <w:rPr>
          <w:sz w:val="24"/>
        </w:rPr>
      </w:pPr>
      <w:r>
        <w:rPr>
          <w:vanish w:val="false"/>
          <w:sz w:val="24"/>
          <w:rFonts w:ascii="Times New Roman" w:hAnsi="Times New Roman"/>
        </w:rPr>
        <w:t xml:space="preserve">4.1.7. Mikroqarz toʻlovlari shaklini hamda mikroqarzni qaytarish turini (differensial va annuitet), shuningdek sugʻurta yoki baholash xizmatlarini mustaqil tanlash.</w:t>
      </w:r>
    </w:p>
    <w:p>
      <w:pPr>
        <w:jc w:val="both"/>
        <w:ind w:firstLine="426"/>
        <w:rPr>
          <w:sz w:val="24"/>
        </w:rPr>
      </w:pPr>
      <w:r>
        <w:rPr>
          <w:vanish w:val="false"/>
          <w:sz w:val="24"/>
          <w:rFonts w:ascii="Times New Roman" w:hAnsi="Times New Roman"/>
        </w:rPr>
        <w:fldChar w:fldCharType="begin"/>
        <w:instrText xml:space="preserve">X {"Y":29}</w:instrText>
        <w:fldChar w:fldCharType="separate"/>
        <w:t xml:space="preserve">Qarz oluvchining shartnomada belgilanganidan boshqa huquqlari</w:t>
      </w:r>
      <w:r>
        <w:rPr>
          <w:vanish w:val="false"/>
          <w:sz w:val="24"/>
          <w:rFonts w:ascii="Times New Roman" w:hAnsi="Times New Roman"/>
        </w:rPr>
        <w:fldChar w:fldCharType="end"/>
      </w:r>
    </w:p>
    <w:p>
      <w:pPr>
        <w:ind w:left="567"/>
        <w:rPr>
          <w:b/>
          <w:sz w:val="24"/>
        </w:rPr>
      </w:pPr>
      <w:r>
        <w:rPr>
          <w:b/>
          <w:vanish w:val="false"/>
          <w:sz w:val="24"/>
          <w:rFonts w:ascii="Times New Roman" w:hAnsi="Times New Roman"/>
        </w:rPr>
        <w:t xml:space="preserve">                                      </w:t>
      </w:r>
    </w:p>
    <w:p>
      <w:pPr>
        <w:ind w:left="567"/>
        <w:rPr>
          <w:b/>
          <w:sz w:val="24"/>
        </w:rPr>
      </w:pPr>
      <w:r>
        <w:rPr>
          <w:b/>
          <w:vanish w:val="false"/>
          <w:sz w:val="24"/>
          <w:rFonts w:ascii="Times New Roman" w:hAnsi="Times New Roman"/>
        </w:rPr>
        <w:t xml:space="preserve">4.2. Kreditorning huquqlari: </w:t>
      </w:r>
    </w:p>
    <w:p>
      <w:pPr>
        <w:jc w:val="both"/>
        <w:ind w:firstLine="426"/>
        <w:rPr>
          <w:sz w:val="24"/>
        </w:rPr>
      </w:pPr>
      <w:r>
        <w:rPr>
          <w:vanish w:val="false"/>
          <w:sz w:val="24"/>
          <w:rFonts w:ascii="Times New Roman" w:hAnsi="Times New Roman"/>
        </w:rPr>
        <w:t xml:space="preserve">4.2.1. Qarz oluvchidan mikroqarz berish va shartnoma boʻyicha majburiyatlarni oʻz vaqtida va lozim darajada bajarishni talab qilish, shuningdek zarur hujjatlarni soʻrab olish;</w:t>
      </w:r>
    </w:p>
    <w:p>
      <w:pPr>
        <w:jc w:val="both"/>
        <w:ind w:firstLine="426"/>
        <w:rPr>
          <w:sz w:val="24"/>
        </w:rPr>
      </w:pPr>
      <w:r>
        <w:rPr>
          <w:vanish w:val="false"/>
          <w:sz w:val="24"/>
          <w:rFonts w:ascii="Times New Roman" w:hAnsi="Times New Roman"/>
        </w:rPr>
        <w:t xml:space="preserve">4.2.2. Oʻzaro muzokaralarni (bayonnoma shaklida, telefon qoʻngʻiroqlari, audio, video va boshqa istalgan usullarda) yozib olish, shuningdek koʻrsatiladigan xizmatlar sifatini oshirish hamda murojaatni tasdiqlash uchun ushbu dalilni ishlatish;</w:t>
      </w:r>
    </w:p>
    <w:p>
      <w:pPr>
        <w:jc w:val="both"/>
        <w:ind w:firstLine="426"/>
        <w:rPr>
          <w:sz w:val="24"/>
        </w:rPr>
      </w:pPr>
      <w:r>
        <w:rPr>
          <w:vanish w:val="false"/>
          <w:sz w:val="24"/>
          <w:rFonts w:ascii="Times New Roman" w:hAnsi="Times New Roman"/>
        </w:rPr>
        <w:t xml:space="preserve">4.2.3. Mikroqarz shartnomasi boʻyicha Qarz oluvchining majburiyatlari bajarilmagan yoki lozim darajada bajarilmagan taqdirda, har qanday qonuniy choralarni koʻrishga, shu jumladan Qarz oluvchining har qanday mol-mulki va mulkiy huquqlaridan majburiy ravishda undirib olish;</w:t>
      </w:r>
    </w:p>
    <w:p>
      <w:pPr>
        <w:jc w:val="both"/>
        <w:ind w:firstLine="426"/>
        <w:rPr>
          <w:sz w:val="24"/>
        </w:rPr>
      </w:pPr>
      <w:r>
        <w:rPr>
          <w:vanish w:val="false"/>
          <w:sz w:val="24"/>
          <w:rFonts w:ascii="Times New Roman" w:hAnsi="Times New Roman"/>
        </w:rPr>
        <w:t xml:space="preserve">4.2.5. Qarz oluvchining joriy yoki muddati oʻtgan majburiyatlari (qarzlari)ni soʻndirish maqsadida, mablagʻlarni Qarz oluvchining boshqa banklardagi hisobvaraqlariga akseptsiz toʻlov talablarini qoʻyish. </w:t>
      </w:r>
    </w:p>
    <w:p>
      <w:pPr>
        <w:jc w:val="both"/>
        <w:ind w:firstLine="426"/>
        <w:rPr>
          <w:sz w:val="24"/>
        </w:rPr>
      </w:pPr>
      <w:r>
        <w:rPr>
          <w:vanish w:val="false"/>
          <w:sz w:val="24"/>
          <w:rFonts w:ascii="Times New Roman" w:hAnsi="Times New Roman"/>
        </w:rPr>
        <w:fldChar w:fldCharType="begin"/>
        <w:instrText xml:space="preserve">X {"Y":30}</w:instrText>
        <w:fldChar w:fldCharType="separate"/>
        <w:t xml:space="preserve">Kreditorning shartnomada belgilanganidan boshqa huquqlari</w:t>
      </w:r>
      <w:r>
        <w:rPr>
          <w:vanish w:val="false"/>
          <w:sz w:val="24"/>
          <w:rFonts w:ascii="Times New Roman" w:hAnsi="Times New Roman"/>
        </w:rPr>
        <w:fldChar w:fldCharType="end"/>
      </w:r>
    </w:p>
    <w:p>
      <w:pPr>
        <w:rPr>
          <w:b/>
          <w:sz w:val="24"/>
        </w:rPr>
      </w:pPr>
      <w:r>
        <w:rPr>
          <w:vanish w:val="false"/>
        </w:rPr>
      </w:r>
    </w:p>
    <w:p>
      <w:pPr>
        <w:pStyle w:val="a5"/>
        <w:numPr>
          <w:numId w:val="3"/>
          <w:ilvl w:val="0"/>
        </w:numPr>
        <w:jc w:val="both"/>
        <w:ind w:firstLine="1830"/>
        <w:rPr>
          <w:b/>
          <w:sz w:val="24"/>
          <w:rFonts w:ascii="Times New Roman" w:hAnsi="Times New Roman"/>
        </w:rPr>
      </w:pPr>
      <w:r>
        <w:rPr>
          <w:b/>
          <w:vanish w:val="false"/>
          <w:sz w:val="24"/>
          <w:rFonts w:ascii="Times New Roman" w:hAnsi="Times New Roman"/>
        </w:rPr>
        <w:t xml:space="preserve">TOMONLARNING JAVOBGARLIGI</w:t>
      </w:r>
    </w:p>
    <w:p>
      <w:pPr>
        <w:pStyle w:val="a5"/>
        <w:jc w:val="both"/>
        <w:ind w:left="720"/>
        <w:rPr>
          <w:b/>
          <w:sz w:val="24"/>
          <w:rFonts w:ascii="Times New Roman" w:hAnsi="Times New Roman"/>
        </w:rPr>
      </w:pPr>
      <w:r>
        <w:rPr>
          <w:vanish w:val="false"/>
        </w:rPr>
      </w:r>
    </w:p>
    <w:p>
      <w:pPr>
        <w:jc w:val="both"/>
        <w:ind w:left="567" w:hanging="141"/>
        <w:rPr>
          <w:b/>
          <w:sz w:val="24"/>
        </w:rPr>
      </w:pPr>
      <w:r>
        <w:rPr>
          <w:b/>
          <w:vanish w:val="false"/>
          <w:sz w:val="24"/>
          <w:rFonts w:ascii="Times New Roman" w:hAnsi="Times New Roman"/>
        </w:rPr>
        <w:t xml:space="preserve">5.1. Qarz oluvchining javobgarligi: </w:t>
      </w:r>
    </w:p>
    <w:p>
      <w:pPr>
        <w:jc w:val="both"/>
        <w:ind w:firstLine="426"/>
        <w:rPr>
          <w:sz w:val="24"/>
        </w:rPr>
      </w:pPr>
      <w:r>
        <w:rPr>
          <w:vanish w:val="false"/>
          <w:sz w:val="24"/>
          <w:rFonts w:ascii="Times New Roman" w:hAnsi="Times New Roman"/>
        </w:rPr>
        <w:t xml:space="preserve">5.1.1. Asosiy qarz va foizlarni oʻz muddatida toʻlamagan taqdirda, toʻlov kechikkan har bir kun uchun kechiktirilgan summaning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Asosiy qarz va foizlar oʻz muddatida toʻlanmagan taqdirda, toʻlov kechikkan har bir kun uchun toʻlanishi lozi boʻlgan penya miqdori</w:t>
        <w:fldChar w:fldCharType="end"/>
      </w:r>
      <w:r>
        <w:rPr>
          <w:vanish w:val="false"/>
          <w:sz w:val="24"/>
          <w:rFonts w:ascii="Times New Roman" w:hAnsi="Times New Roman"/>
        </w:rPr>
        <w:t xml:space="preserve"> foizi miqdorida Kreditorga penya toʻlaydi.</w:t>
      </w:r>
    </w:p>
    <w:p>
      <w:pPr>
        <w:jc w:val="both"/>
        <w:ind w:firstLine="426"/>
        <w:rPr>
          <w:sz w:val="24"/>
        </w:rPr>
      </w:pPr>
      <w:r>
        <w:rPr>
          <w:vanish w:val="false"/>
          <w:sz w:val="24"/>
          <w:rFonts w:ascii="Times New Roman" w:hAnsi="Times New Roman"/>
        </w:rPr>
        <w:t xml:space="preserve">5.1.2. Shartnoma boʻyicha hisoblangan penyani toʻlash taraflarni shartnomada koʻrsatilgan oʻz majburiyatlarini bajarishdan ozod qilmaydi. Shuningdek, ikkinchi tarafni majburiyatlar bajarilmaganligi sababli tegishli choralar qoʻllash huquqidan mahrum qilmaydi.</w:t>
      </w:r>
    </w:p>
    <w:p>
      <w:pPr>
        <w:jc w:val="both"/>
        <w:ind w:firstLine="426"/>
        <w:rPr>
          <w:sz w:val="24"/>
        </w:rPr>
      </w:pPr>
      <w:r>
        <w:rPr>
          <w:vanish w:val="false"/>
          <w:sz w:val="24"/>
          <w:rFonts w:ascii="Times New Roman" w:hAnsi="Times New Roman"/>
        </w:rPr>
        <w:t xml:space="preserve">5.1.3. Qarzdorlik boʻyicha hisoblangan foizlar va neustoykalarning eng koʻp summasi qonunchilik hujjatlarida belgilangan miqdordan oshib ketmasligi lozim.</w:t>
      </w:r>
    </w:p>
    <w:p>
      <w:pPr>
        <w:jc w:val="both"/>
        <w:ind w:firstLine="426"/>
        <w:rPr>
          <w:sz w:val="24"/>
        </w:rPr>
      </w:pPr>
      <w:r>
        <w:rPr>
          <w:vanish w:val="false"/>
        </w:rPr>
      </w:r>
    </w:p>
    <w:p>
      <w:pPr>
        <w:jc w:val="both"/>
        <w:ind w:firstLine="426"/>
        <w:rPr>
          <w:b/>
          <w:sz w:val="24"/>
        </w:rPr>
      </w:pPr>
      <w:r>
        <w:rPr>
          <w:b/>
          <w:vanish w:val="false"/>
          <w:sz w:val="24"/>
          <w:rFonts w:ascii="Times New Roman" w:hAnsi="Times New Roman"/>
        </w:rPr>
        <w:t xml:space="preserve">5.2. Kreditorning javobgarligi:</w:t>
      </w:r>
    </w:p>
    <w:p>
      <w:pPr>
        <w:jc w:val="both"/>
        <w:ind w:firstLine="426"/>
        <w:rPr>
          <w:sz w:val="24"/>
        </w:rPr>
      </w:pPr>
      <w:r>
        <w:rPr>
          <w:vanish w:val="false"/>
          <w:sz w:val="24"/>
          <w:rFonts w:ascii="Times New Roman" w:hAnsi="Times New Roman"/>
        </w:rPr>
        <w:t xml:space="preserve">5.2.1. Mikroqarz mablagʻlarini berish majburiyatini bajarmaganida yoki oʻz vaqtida bajarmaganida Qarz oluvchiga kechiktirilgan toʻlovning har bir kuni uchun kechiktirilgan toʻlov summasining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Mikroqarz mablagʻlarini bermaganlik yoki oʻz vaqtida bermaganlik uchun kreditor har bir kun uchun toʻlashi lozi boʻlgan penya miqdori</w:t>
        <w:fldChar w:fldCharType="end"/>
      </w:r>
      <w:r>
        <w:rPr>
          <w:vanish w:val="false"/>
          <w:sz w:val="24"/>
          <w:rFonts w:ascii="Times New Roman" w:hAnsi="Times New Roman"/>
        </w:rPr>
        <w:t xml:space="preserve"> foizi miqdorida penya toʻlaydi.</w:t>
      </w:r>
    </w:p>
    <w:p>
      <w:pPr>
        <w:jc w:val="both"/>
        <w:ind w:firstLine="426"/>
        <w:rPr>
          <w:sz w:val="24"/>
        </w:rPr>
      </w:pPr>
      <w:r>
        <w:rPr>
          <w:vanish w:val="false"/>
          <w:sz w:val="24"/>
          <w:rFonts w:ascii="Times New Roman" w:hAnsi="Times New Roman"/>
        </w:rPr>
        <w:t xml:space="preserve">5.2.2. Qarz oluvchi mazkur shartnoma boʻyicha barcha majburiyatlarini toʻliq bajargach, Kreditor ushbu shartnomaning 3.2.10-bandidagi majburiyatlarini oʻz vaqtida yoki toʻliq bajarmagan taqdirda, kechiktirilgan har bir kun uchun garovga olingan mulk qiymatining 0,1 foizi miqdorida penya toʻlaydi.</w:t>
      </w:r>
    </w:p>
    <w:p>
      <w:pPr>
        <w:jc w:val="both"/>
        <w:ind w:firstLine="426"/>
        <w:rPr>
          <w:sz w:val="24"/>
        </w:rPr>
      </w:pPr>
      <w:r>
        <w:rPr>
          <w:vanish w:val="false"/>
          <w:sz w:val="24"/>
          <w:rFonts w:ascii="Times New Roman" w:hAnsi="Times New Roman"/>
        </w:rPr>
        <w:t xml:space="preserve">5.2.3. Shartnoma boʻyicha hisoblangan penyani ixtiyoriy toʻlash tomonlarni shartnomada koʻrsatilgan oʻz majburiyatlarini bajarishdan ozod qilmaydi. Shuningdek, ikkinchi tarafni majburiyatlar bajarilmaganligi sababli tegishli choralar qoʻllash huquqidan mahrum qilmaydi.</w:t>
      </w:r>
    </w:p>
    <w:p>
      <w:pPr>
        <w:jc w:val="both"/>
        <w:ind w:firstLine="426"/>
        <w:rPr>
          <w:sz w:val="24"/>
        </w:rPr>
      </w:pPr>
      <w:r>
        <w:rPr>
          <w:vanish w:val="false"/>
          <w:sz w:val="24"/>
          <w:rFonts w:ascii="Times New Roman" w:hAnsi="Times New Roman"/>
        </w:rPr>
        <w:t xml:space="preserve">5.2.4. Qarzdorlik boʻyicha hisoblangan foizlar va neustoykalarning eng koʻp summasi qonunchilik hujjatlarida belgilangan miqdordan oshib ketmasligi lozim.</w:t>
      </w:r>
    </w:p>
    <w:p>
      <w:pPr>
        <w:jc w:val="both"/>
        <w:ind w:firstLine="567"/>
        <w:rPr>
          <w:sz w:val="24"/>
        </w:rPr>
      </w:pPr>
      <w:r>
        <w:rPr>
          <w:vanish w:val="false"/>
        </w:rPr>
      </w:r>
    </w:p>
    <w:p>
      <w:pPr>
        <w:pStyle w:val="a5"/>
        <w:numPr>
          <w:numId w:val="4"/>
          <w:ilvl w:val="0"/>
        </w:numPr>
        <w:jc w:val="center"/>
        <w:contextualSpacing/>
        <w:rPr>
          <w:b/>
          <w:i/>
          <w:sz w:val="24"/>
          <w:rFonts w:ascii="Times New Roman" w:hAnsi="Times New Roman"/>
        </w:rPr>
      </w:pPr>
      <w:r>
        <w:rPr>
          <w:b/>
          <w:vanish w:val="false"/>
          <w:sz w:val="24"/>
          <w:rFonts w:ascii="Times New Roman" w:hAnsi="Times New Roman"/>
        </w:rPr>
        <w:t xml:space="preserve">KREDIT TAʼMINOTI.</w:t>
      </w:r>
    </w:p>
    <w:p>
      <w:pPr>
        <w:pStyle w:val="a5"/>
        <w:ind w:left="720"/>
        <w:contextualSpacing/>
        <w:rPr>
          <w:b/>
          <w:i/>
          <w:sz w:val="24"/>
          <w:rFonts w:ascii="Times New Roman" w:hAnsi="Times New Roman"/>
        </w:rPr>
      </w:pPr>
      <w:r>
        <w:rPr>
          <w:vanish w:val="false"/>
        </w:rPr>
      </w:r>
    </w:p>
    <w:p>
      <w:pPr>
        <w:pStyle w:val="a5"/>
        <w:numPr>
          <w:numId w:val="4"/>
          <w:ilvl w:val="1"/>
        </w:numPr>
        <w:jc w:val="both"/>
        <w:ind w:left="0" w:firstLine="426"/>
        <w:rPr>
          <w:sz w:val="24"/>
          <w:rFonts w:ascii="Times New Roman" w:hAnsi="Times New Roman"/>
        </w:rPr>
      </w:pPr>
      <w:r>
        <w:rPr>
          <w:vanish w:val="false"/>
          <w:sz w:val="24"/>
          <w:rFonts w:ascii="Times New Roman" w:hAnsi="Times New Roman"/>
        </w:rPr>
        <w:t xml:space="preserve">Mazkur shartnoma asosida ajratilgan mikroqarzning qaytarilishi uchun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Ajratilgan mikroqarz qaytarilishi uchun taʼminot nomi yoki kafilning F.I.Shsi</w:t>
        <w:fldChar w:fldCharType="end"/>
      </w:r>
      <w:r>
        <w:rPr>
          <w:vanish w:val="false"/>
          <w:sz w:val="24"/>
          <w:rFonts w:ascii="Times New Roman" w:hAnsi="Times New Roman"/>
        </w:rPr>
        <w:t xml:space="preserve">si bilan taʼminlanadi. </w:t>
      </w:r>
    </w:p>
    <w:p>
      <w:pPr>
        <w:pStyle w:val="a5"/>
        <w:numPr>
          <w:numId w:val="4"/>
          <w:ilvl w:val="1"/>
        </w:numPr>
        <w:jc w:val="both"/>
        <w:ind w:left="0" w:firstLine="426"/>
        <w:rPr>
          <w:sz w:val="24"/>
          <w:rFonts w:ascii="Times New Roman" w:hAnsi="Times New Roman"/>
        </w:rPr>
      </w:pPr>
      <w:r>
        <w:rPr>
          <w:vanish w:val="false"/>
          <w:sz w:val="24"/>
          <w:rFonts w:ascii="Times New Roman" w:hAnsi="Times New Roman"/>
        </w:rPr>
        <w:t xml:space="preserve">Kafillik shartnomasi/garov shartnomasi amaldagi qonunchilikka muvofiq rasmiylashtiriladi.</w:t>
      </w:r>
    </w:p>
    <w:p>
      <w:pPr>
        <w:pStyle w:val="a5"/>
        <w:numPr>
          <w:numId w:val="4"/>
          <w:ilvl w:val="1"/>
        </w:numPr>
        <w:jc w:val="both"/>
        <w:ind w:left="0" w:firstLine="426"/>
        <w:rPr>
          <w:sz w:val="24"/>
          <w:rFonts w:ascii="Times New Roman" w:hAnsi="Times New Roman"/>
        </w:rPr>
      </w:pPr>
      <w:r>
        <w:rPr>
          <w:vanish w:val="false"/>
          <w:sz w:val="24"/>
          <w:rFonts w:ascii="Times New Roman" w:hAnsi="Times New Roman"/>
        </w:rPr>
        <w:t xml:space="preserve">Garov mulki boʻyicha garov reyestriga yozuvlar kiritiladi va garov mulkiga nisbatan taqiq qoʻyiladi.</w:t>
      </w:r>
    </w:p>
    <w:p>
      <w:pPr>
        <w:jc w:val="both"/>
        <w:ind w:firstLine="567"/>
        <w:rPr>
          <w:sz w:val="24"/>
        </w:rPr>
      </w:pPr>
      <w:r>
        <w:rPr>
          <w:vanish w:val="false"/>
        </w:rPr>
      </w:r>
    </w:p>
    <w:p>
      <w:pPr>
        <w:numPr>
          <w:numId w:val="1"/>
          <w:ilvl w:val="0"/>
        </w:numPr>
        <w:jc w:val="center"/>
        <w:ind w:left="0" w:firstLine="0"/>
        <w:tabs>
          <w:tab w:val="left" w:pos="0"/>
        </w:tabs>
        <w:rPr>
          <w:b/>
          <w:i/>
          <w:sz w:val="24"/>
          <w:rFonts w:ascii="Times New Roman" w:hAnsi="Times New Roman"/>
        </w:rPr>
      </w:pPr>
      <w:r>
        <w:rPr>
          <w:b/>
          <w:vanish w:val="false"/>
          <w:sz w:val="24"/>
          <w:rFonts w:ascii="Times New Roman" w:hAnsi="Times New Roman"/>
        </w:rPr>
        <w:t xml:space="preserve">SHARTNOMANING AMAL KILISH MUDDATI, SHARTNOMANI </w:t>
        <w:br/>
        <w:t xml:space="preserve">OʻZGARTIRISH VA BEKOR QILISH TARTIBI.</w:t>
      </w:r>
    </w:p>
    <w:p>
      <w:pPr>
        <w:jc w:val="center"/>
        <w:ind w:left="284"/>
        <w:rPr>
          <w:sz w:val="24"/>
        </w:rPr>
      </w:pPr>
      <w:r>
        <w:rPr>
          <w:vanish w:val="false"/>
        </w:rPr>
      </w:r>
    </w:p>
    <w:p>
      <w:pPr>
        <w:jc w:val="both"/>
        <w:ind w:firstLine="426"/>
        <w:rPr>
          <w:sz w:val="24"/>
        </w:rPr>
      </w:pPr>
      <w:r>
        <w:rPr>
          <w:vanish w:val="false"/>
          <w:sz w:val="24"/>
          <w:rFonts w:ascii="Times New Roman" w:hAnsi="Times New Roman"/>
        </w:rPr>
        <w:t xml:space="preserve">7.1. Shartnoma tomonlar imzolagan kundan eʼtiboran kuchga kiradi va taraflar oʻz majburiyatlarini toʻliq bajargunlariga qadar amalda boʻladi.</w:t>
      </w:r>
    </w:p>
    <w:p>
      <w:pPr>
        <w:jc w:val="both"/>
        <w:ind w:firstLine="426"/>
        <w:tabs>
          <w:tab w:val="left" w:pos="284"/>
          <w:tab w:val="left" w:pos="567"/>
        </w:tabs>
        <w:rPr>
          <w:sz w:val="24"/>
        </w:rPr>
      </w:pPr>
      <w:r>
        <w:rPr>
          <w:vanish w:val="false"/>
          <w:sz w:val="24"/>
          <w:rFonts w:ascii="Times New Roman" w:hAnsi="Times New Roman"/>
        </w:rPr>
        <w:t xml:space="preserve">7.2. Ushbu shartnomaning shartlarini oʻzgartirish va qoʻshimcha kiritish yoki uni bekor qilish qoʻshimcha kelishuv tuzish orqali amalga oshiriladi. Qoʻshimcha kelishuv yozma shaklda tuzilib, tomonlarning vakolatli vakillari imzolaganidan soʻng haqiqiy hisoblanadi. Barcha oʻzgartirish, qoʻshimchalar va ilovalar mazkur shartnomaning ajralmas qismi boʻlib hisoblanadi.</w:t>
      </w:r>
    </w:p>
    <w:p>
      <w:pPr>
        <w:jc w:val="both"/>
        <w:ind w:firstLine="426"/>
        <w:rPr>
          <w:sz w:val="24"/>
        </w:rPr>
      </w:pPr>
      <w:r>
        <w:rPr>
          <w:vanish w:val="false"/>
          <w:sz w:val="24"/>
          <w:rFonts w:ascii="Times New Roman" w:hAnsi="Times New Roman"/>
        </w:rPr>
        <w:t xml:space="preserve">7.3. Quyidagi asoslar yuzaga kelganida, Kreditor mazkur shartnomani muddatidan oldin bekor qilish va undiruvni garovdagi yoki boshqa likvidli mol-mulklarga qaratishi mumkin:</w:t>
      </w:r>
    </w:p>
    <w:p>
      <w:pPr>
        <w:jc w:val="both"/>
        <w:ind w:firstLine="426"/>
        <w:rPr>
          <w:sz w:val="24"/>
        </w:rPr>
      </w:pPr>
      <w:r>
        <w:rPr>
          <w:vanish w:val="false"/>
          <w:sz w:val="24"/>
          <w:rFonts w:ascii="Times New Roman" w:hAnsi="Times New Roman"/>
        </w:rPr>
        <w:t xml:space="preserve">- Qarz oluvchi tomonidan shartnoma tuzishda yoki kredit operatsiyalarini bajarish vaqtida Kreditorga notoʻgʻri maʼlumotlar taqdim etish faktlari aniqlanganda;</w:t>
      </w:r>
    </w:p>
    <w:p>
      <w:pPr>
        <w:jc w:val="both"/>
        <w:ind w:firstLine="426"/>
        <w:rPr>
          <w:sz w:val="24"/>
        </w:rPr>
      </w:pPr>
      <w:r>
        <w:rPr>
          <w:vanish w:val="false"/>
          <w:sz w:val="24"/>
          <w:rFonts w:ascii="Times New Roman" w:hAnsi="Times New Roman"/>
        </w:rPr>
        <w:t>-</w:t>
      </w:r>
      <w:r>
        <w:rPr>
          <w:vanish w:val="false"/>
          <w:sz w:val="24"/>
          <w:rFonts w:ascii="Times New Roman" w:hAnsi="Times New Roman"/>
        </w:rPr>
        <w:fldChar w:fldCharType="begin"/>
        <w:instrText xml:space="preserve">X {"Y":34}</w:instrText>
        <w:fldChar w:fldCharType="separate"/>
      </w:r>
      <w:r>
        <w:rPr>
          <w:vanish w:val="false"/>
          <w:sz w:val="24"/>
          <w:rFonts w:ascii="Times New Roman" w:hAnsi="Times New Roman"/>
        </w:rPr>
        <w:t xml:space="preserve">Qarz oluvchi kreditni qaytarish jadvaliga necha marta amal qilmaganda Kreditor shartnomani muddatidan oldin bekor qilishni talab qilish huquqiga ega</w:t>
        <w:fldChar w:fldCharType="end"/>
      </w:r>
      <w:r>
        <w:rPr>
          <w:vanish w:val="false"/>
          <w:sz w:val="24"/>
          <w:rFonts w:ascii="Times New Roman" w:hAnsi="Times New Roman"/>
        </w:rPr>
        <w:tab/>
        <w:t xml:space="preserve">kreditni qaytarish jadvalini kamida  marotaba buzgan taqdirda;</w:t>
      </w:r>
    </w:p>
    <w:p>
      <w:pPr>
        <w:jc w:val="both"/>
        <w:ind w:firstLine="426"/>
        <w:rPr>
          <w:sz w:val="24"/>
        </w:rPr>
      </w:pPr>
      <w:r>
        <w:rPr>
          <w:vanish w:val="false"/>
          <w:sz w:val="24"/>
          <w:rFonts w:ascii="Times New Roman" w:hAnsi="Times New Roman"/>
        </w:rPr>
        <w:t xml:space="preserve">- kredit va unga hisoblangan foizlarni kreditni qaytarish jadvalida belgilangan muddatdan 30 kun va undan ortiq muddatga sababsiz kechiktirilganida;</w:t>
        <w:tab/>
      </w:r>
    </w:p>
    <w:p>
      <w:pPr>
        <w:jc w:val="both"/>
        <w:ind w:firstLine="426"/>
        <w:rPr>
          <w:sz w:val="24"/>
        </w:rPr>
      </w:pPr>
      <w:r>
        <w:rPr>
          <w:vanish w:val="false"/>
          <w:sz w:val="24"/>
          <w:rFonts w:ascii="Times New Roman" w:hAnsi="Times New Roman"/>
        </w:rPr>
        <w:t>-</w:t>
        <w:tab/>
        <w:t xml:space="preserve">garov mulkini oʻz muddatida sugʻurtalanib, garovga taqdim etilmaganida;</w:t>
      </w:r>
    </w:p>
    <w:p>
      <w:pPr>
        <w:jc w:val="both"/>
        <w:ind w:firstLine="426"/>
        <w:rPr>
          <w:sz w:val="24"/>
        </w:rPr>
      </w:pPr>
      <w:r>
        <w:rPr>
          <w:vanish w:val="false"/>
          <w:sz w:val="24"/>
          <w:rFonts w:ascii="Times New Roman" w:hAnsi="Times New Roman"/>
        </w:rPr>
        <w:t xml:space="preserve">- Qarz oluvchi garovga olingan mulkni monitoring qilinishiga toʻsqinlik qilganida, uni yashirganida.</w:t>
      </w:r>
    </w:p>
    <w:p>
      <w:pPr>
        <w:jc w:val="both"/>
        <w:ind w:firstLine="426"/>
        <w:rPr>
          <w:sz w:val="24"/>
        </w:rPr>
      </w:pPr>
      <w:r>
        <w:rPr>
          <w:vanish w:val="false"/>
        </w:rPr>
      </w:r>
    </w:p>
    <w:p>
      <w:pPr>
        <w:numPr>
          <w:numId w:val="2"/>
          <w:ilvl w:val="0"/>
        </w:numPr>
        <w:jc w:val="center"/>
        <w:ind w:left="0" w:firstLine="0"/>
        <w:rPr>
          <w:b/>
          <w:sz w:val="24"/>
          <w:rFonts w:ascii="Times New Roman" w:hAnsi="Times New Roman"/>
        </w:rPr>
      </w:pPr>
      <w:r>
        <w:rPr>
          <w:b/>
          <w:vanish w:val="false"/>
          <w:sz w:val="24"/>
          <w:rFonts w:ascii="Times New Roman" w:hAnsi="Times New Roman"/>
        </w:rPr>
        <w:t>MAXFIYLIK</w:t>
      </w:r>
    </w:p>
    <w:p>
      <w:pPr>
        <w:rPr>
          <w:b/>
          <w:sz w:val="24"/>
        </w:rPr>
      </w:pPr>
      <w:r>
        <w:rPr>
          <w:vanish w:val="false"/>
        </w:rPr>
      </w:r>
    </w:p>
    <w:p>
      <w:pPr>
        <w:jc w:val="both"/>
        <w:ind w:firstLine="426"/>
        <w:rPr>
          <w:sz w:val="24"/>
        </w:rPr>
      </w:pPr>
      <w:r>
        <w:rPr>
          <w:vanish w:val="false"/>
          <w:sz w:val="24"/>
          <w:rFonts w:ascii="Times New Roman" w:hAnsi="Times New Roman"/>
        </w:rPr>
        <w:t>8.1.</w:t>
      </w:r>
      <w:r>
        <w:rPr>
          <w:b/>
          <w:vanish w:val="false"/>
          <w:sz w:val="24"/>
          <w:rFonts w:ascii="Times New Roman" w:hAnsi="Times New Roman"/>
        </w:rPr>
        <w:t xml:space="preserve"> </w:t>
      </w:r>
      <w:r>
        <w:rPr>
          <w:vanish w:val="false"/>
          <w:sz w:val="24"/>
          <w:rFonts w:ascii="Times New Roman" w:hAnsi="Times New Roman"/>
        </w:rPr>
        <w:t xml:space="preserve">Tomonlar shartnomani tuzish va shartnomadan kelib chiqadigan majburiyatlarni bajarish chogʻida boshqa tomonning maʼlumotlarini axborot egasining yozma roziligisiz oshkor qilmaslik majburiyatini oladi. </w:t>
      </w:r>
    </w:p>
    <w:p>
      <w:pPr>
        <w:jc w:val="both"/>
        <w:ind w:firstLine="426"/>
        <w:rPr>
          <w:b/>
          <w:sz w:val="24"/>
        </w:rPr>
      </w:pPr>
      <w:r>
        <w:rPr>
          <w:vanish w:val="false"/>
          <w:sz w:val="24"/>
          <w:rFonts w:ascii="Times New Roman" w:hAnsi="Times New Roman"/>
        </w:rPr>
        <w:t xml:space="preserve">8.2. Ushbu talablarni buzgan taraf buning oqibatida ikkinchi tarafga yetkazilgan barcha zararni toʻliq hajmda qoplaydi.</w:t>
      </w:r>
    </w:p>
    <w:p>
      <w:pPr>
        <w:rPr>
          <w:b/>
          <w:sz w:val="24"/>
        </w:rPr>
      </w:pPr>
      <w:r>
        <w:rPr>
          <w:vanish w:val="false"/>
        </w:rPr>
      </w:r>
    </w:p>
    <w:p>
      <w:pPr>
        <w:numPr>
          <w:numId w:val="2"/>
          <w:ilvl w:val="0"/>
        </w:numPr>
        <w:jc w:val="center"/>
        <w:ind w:left="0" w:firstLine="0"/>
        <w:rPr>
          <w:b/>
          <w:sz w:val="24"/>
          <w:rFonts w:ascii="Times New Roman" w:hAnsi="Times New Roman"/>
        </w:rPr>
      </w:pPr>
      <w:r>
        <w:rPr>
          <w:b/>
          <w:vanish w:val="false"/>
          <w:sz w:val="24"/>
          <w:rFonts w:ascii="Times New Roman" w:hAnsi="Times New Roman"/>
        </w:rPr>
        <w:t xml:space="preserve">ALOHIDA SHARTLAR</w:t>
      </w:r>
    </w:p>
    <w:p>
      <w:pPr>
        <w:rPr>
          <w:b/>
          <w:sz w:val="24"/>
        </w:rPr>
      </w:pPr>
      <w:r>
        <w:rPr>
          <w:vanish w:val="false"/>
        </w:rPr>
      </w:r>
    </w:p>
    <w:p>
      <w:pPr>
        <w:jc w:val="both"/>
        <w:ind w:firstLine="426"/>
        <w:rPr>
          <w:sz w:val="24"/>
        </w:rPr>
      </w:pPr>
      <w:r>
        <w:rPr>
          <w:vanish w:val="false"/>
          <w:sz w:val="24"/>
          <w:rFonts w:ascii="Times New Roman" w:hAnsi="Times New Roman"/>
        </w:rPr>
        <w:t>9.1.</w:t>
      </w:r>
      <w:r>
        <w:rPr>
          <w:b/>
          <w:vanish w:val="false"/>
          <w:sz w:val="24"/>
          <w:rFonts w:ascii="Times New Roman" w:hAnsi="Times New Roman"/>
        </w:rPr>
        <w:t xml:space="preserve"> </w:t>
      </w:r>
      <w:r>
        <w:rPr>
          <w:vanish w:val="false"/>
          <w:sz w:val="24"/>
          <w:rFonts w:ascii="Times New Roman" w:hAnsi="Times New Roman"/>
        </w:rPr>
        <w:t xml:space="preserve">Mazkur shartnomani imzolash bilan Qarz oluvchi Kreditorga uning shaxsiy maʼlumotlarini yigʻish, qayta ishlash, saqlash va undan foydalanishga quyidagi hollarda rozilik beradi: </w:t>
      </w:r>
    </w:p>
    <w:p>
      <w:pPr>
        <w:jc w:val="both"/>
        <w:ind w:firstLine="426"/>
        <w:rPr>
          <w:sz w:val="24"/>
        </w:rPr>
      </w:pPr>
      <w:r>
        <w:rPr>
          <w:vanish w:val="false"/>
          <w:sz w:val="24"/>
          <w:rFonts w:ascii="Times New Roman" w:hAnsi="Times New Roman"/>
        </w:rPr>
        <w:t xml:space="preserve">Qarz oluvchi manfaatdor boʻlgan shartnomalarni tuzishda va ijrosini taʼminlashda;</w:t>
      </w:r>
    </w:p>
    <w:p>
      <w:pPr>
        <w:jc w:val="both"/>
        <w:ind w:firstLine="426"/>
        <w:rPr>
          <w:sz w:val="24"/>
        </w:rPr>
      </w:pPr>
      <w:r>
        <w:rPr>
          <w:vanish w:val="false"/>
          <w:sz w:val="24"/>
          <w:rFonts w:ascii="Times New Roman" w:hAnsi="Times New Roman"/>
        </w:rPr>
        <w:t xml:space="preserve">Qarz oluvchining shartnomada belgilangan huquqlari va majburiyatlarining bajarilishini taʼminlashda, ularning bajarilishini talab qilish va qarzdorlikni undirishda.</w:t>
      </w:r>
    </w:p>
    <w:p>
      <w:pPr>
        <w:jc w:val="both"/>
        <w:ind w:firstLine="426"/>
        <w:rPr>
          <w:sz w:val="24"/>
        </w:rPr>
      </w:pPr>
      <w:r>
        <w:rPr>
          <w:vanish w:val="false"/>
          <w:sz w:val="24"/>
          <w:rFonts w:ascii="Times New Roman" w:hAnsi="Times New Roman"/>
        </w:rPr>
        <w:t xml:space="preserve">9.2. Ushbu bilan Qarz oluvchi toʻlov jadvali asosida kredit toʻlovi boʻyicha telefon qoʻngʻiroqlari qilinishiga, SMS-xabarnomalarni uyali telefon raqamlariga, shuningdek Qarz oluvchi tomonidan taqdim etilgan boshqa manzillarga (rekvizitlarga), barcha aloqa vositalaridan foydalangan holda yuborilishiga rozilik beradi. </w:t>
      </w:r>
    </w:p>
    <w:p>
      <w:pPr>
        <w:jc w:val="both"/>
        <w:ind w:firstLine="426"/>
        <w:rPr>
          <w:sz w:val="24"/>
        </w:rPr>
      </w:pPr>
      <w:r>
        <w:rPr>
          <w:vanish w:val="false"/>
          <w:sz w:val="24"/>
          <w:rFonts w:ascii="Times New Roman" w:hAnsi="Times New Roman"/>
        </w:rPr>
        <w:t xml:space="preserve">9.3. Kreditor tomonidan yuborilgan SMS xabarnomalar, qilingan qoʻngʻiroqlar, yuborilgan ogoxlantirish xatlari va boshqalar qarzni qaytarishning zarur choralari boʻlib, sudda dalil boʻlib xizmat qiladi.</w:t>
      </w:r>
    </w:p>
    <w:p>
      <w:pPr>
        <w:jc w:val="both"/>
        <w:ind w:firstLine="426"/>
        <w:rPr>
          <w:b/>
          <w:sz w:val="24"/>
        </w:rPr>
      </w:pPr>
      <w:r>
        <w:rPr>
          <w:vanish w:val="false"/>
        </w:rPr>
      </w:r>
    </w:p>
    <w:p>
      <w:pPr>
        <w:numPr>
          <w:numId w:val="2"/>
          <w:ilvl w:val="0"/>
        </w:numPr>
        <w:jc w:val="center"/>
        <w:ind w:left="0" w:firstLine="0"/>
        <w:rPr>
          <w:b/>
          <w:sz w:val="24"/>
          <w:rFonts w:ascii="Times New Roman" w:hAnsi="Times New Roman"/>
        </w:rPr>
      </w:pPr>
      <w:r>
        <w:rPr>
          <w:b/>
          <w:vanish w:val="false"/>
          <w:sz w:val="24"/>
          <w:rFonts w:ascii="Times New Roman" w:hAnsi="Times New Roman"/>
        </w:rPr>
        <w:t xml:space="preserve">FORS-MAJOR HOLATLARI</w:t>
      </w:r>
    </w:p>
    <w:p>
      <w:pPr>
        <w:rPr>
          <w:b/>
          <w:sz w:val="24"/>
        </w:rPr>
      </w:pPr>
      <w:r>
        <w:rPr>
          <w:vanish w:val="false"/>
        </w:rPr>
      </w:r>
    </w:p>
    <w:p>
      <w:pPr>
        <w:jc w:val="both"/>
        <w:ind w:firstLine="426"/>
        <w:rPr>
          <w:b/>
          <w:sz w:val="24"/>
        </w:rPr>
      </w:pPr>
      <w:r>
        <w:rPr>
          <w:vanish w:val="false"/>
          <w:sz w:val="24"/>
          <w:rFonts w:ascii="Times New Roman" w:hAnsi="Times New Roman"/>
        </w:rPr>
        <w:t>10.1.</w:t>
      </w:r>
      <w:r>
        <w:rPr>
          <w:b/>
          <w:vanish w:val="false"/>
          <w:sz w:val="24"/>
          <w:rFonts w:ascii="Times New Roman" w:hAnsi="Times New Roman"/>
        </w:rPr>
        <w:t xml:space="preserve"> </w:t>
      </w:r>
      <w:r>
        <w:rPr>
          <w:vanish w:val="false"/>
          <w:sz w:val="24"/>
          <w:rFonts w:ascii="Times New Roman" w:hAnsi="Times New Roman"/>
        </w:rPr>
        <w:t xml:space="preserve">Yengib boʻlmaydigan kuchlar (fors-major) holatlari - bu tomonlarning irodasi, xohishi va faoliyatlariga bogʻliq boʻlmagan tabiat hodisalari (zilzila, koʻchki, boʻron, qurgʻoqchilik va boshqalar), ijtimoiy-iqtisodiy holatlar (urush holati, qamal, davlat manfaatlarini koʻzlab import va eksportni taqiqlash va boshqalar), xalqaro, banklararo va bankning elektron toʻlov hamda taʼminot tizimidagi nosozlik, bankning dasturiy taʼminot tizimiga qilingan taxdid (uchinchi shaxslar tomonidan qilingan xujumlar) sababli yuzaga kelgan sharoitlarda tomonlarga qabul qilingan majburiyatlarni bajarish imkonini bermaydigan favqulodda, oldini olib boʻlmaydigan va kutilmagan holatlardir.</w:t>
      </w:r>
    </w:p>
    <w:p>
      <w:pPr>
        <w:jc w:val="both"/>
        <w:ind w:firstLine="426"/>
        <w:rPr>
          <w:sz w:val="24"/>
        </w:rPr>
      </w:pPr>
      <w:r>
        <w:rPr>
          <w:vanish w:val="false"/>
          <w:sz w:val="24"/>
          <w:rFonts w:ascii="Times New Roman" w:hAnsi="Times New Roman"/>
        </w:rPr>
        <w:t xml:space="preserve">10.2. Fors-major holatlari yuzaga kelgan vaqtda taraflar ushbu holatlar bartaraf etilguniga qadar shartnoma boʻyicha oʻzaro majburiyatlarini bajarishdan ozod boʻladilar.</w:t>
      </w:r>
    </w:p>
    <w:p>
      <w:pPr>
        <w:jc w:val="both"/>
        <w:ind w:firstLine="426"/>
        <w:rPr>
          <w:sz w:val="24"/>
        </w:rPr>
      </w:pPr>
      <w:r>
        <w:rPr>
          <w:vanish w:val="false"/>
          <w:sz w:val="24"/>
          <w:rFonts w:ascii="Times New Roman" w:hAnsi="Times New Roman"/>
        </w:rPr>
        <w:t xml:space="preserve">10.3. Yuzaga kelgan fors-major holatlari haqida hamda ushbu holatlar yakunlanganligi haqida taraf ushbu holatlar yuzaga kelgan yoki bartaraf etilgan  vaqtdan boshlab, </w:t>
      </w:r>
      <w:r>
        <w:rPr>
          <w:vanish w:val="false"/>
          <w:sz w:val="24"/>
          <w:rFonts w:ascii="Times New Roman" w:hAnsi="Times New Roman"/>
        </w:rPr>
        <w:fldChar w:fldCharType="begin"/>
        <w:instrText xml:space="preserve">X {"Y":35}</w:instrText>
        <w:fldChar w:fldCharType="separate"/>
      </w:r>
      <w:r>
        <w:rPr>
          <w:vanish w:val="false"/>
          <w:sz w:val="24"/>
          <w:rFonts w:ascii="Times New Roman" w:hAnsi="Times New Roman"/>
        </w:rPr>
        <w:t xml:space="preserve">Fors-major holatiga tushgan taraf bu haqida ikkinchi tomonni xabardor qilishi uchun belgilangan muddat</w:t>
        <w:fldChar w:fldCharType="end"/>
      </w:r>
      <w:r>
        <w:rPr>
          <w:vanish w:val="false"/>
        </w:rPr>
        <w:t xml:space="preserve">  </w:t>
      </w:r>
      <w:r>
        <w:rPr>
          <w:vanish w:val="false"/>
          <w:sz w:val="24"/>
          <w:rFonts w:ascii="Times New Roman" w:hAnsi="Times New Roman"/>
        </w:rPr>
        <w:t xml:space="preserve"> bank ish kuni ichida bu haqda ikkinchi tarafni yozma ravishda xabardor qilishi lozim.  </w:t>
      </w:r>
    </w:p>
    <w:p>
      <w:pPr>
        <w:jc w:val="both"/>
        <w:ind w:firstLine="426"/>
        <w:rPr>
          <w:sz w:val="24"/>
        </w:rPr>
      </w:pPr>
      <w:r>
        <w:rPr>
          <w:vanish w:val="false"/>
          <w:sz w:val="24"/>
          <w:rFonts w:ascii="Times New Roman" w:hAnsi="Times New Roman"/>
        </w:rPr>
        <w:t xml:space="preserve">10.4. Fors-major holatlari yuzaga kelganligi yoki bartaraf etilganligi haqidagi xabarnomalar tomonlarda mavjud boʻlgan barcha aloqa vositalari orqali yuborilishi mumkin. </w:t>
      </w:r>
    </w:p>
    <w:p>
      <w:pPr>
        <w:jc w:val="center"/>
        <w:ind w:firstLine="426"/>
        <w:rPr>
          <w:sz w:val="24"/>
          <w:rFonts w:ascii="Times New Roman" w:hAnsi="Times New Roman"/>
        </w:rPr>
      </w:pPr>
      <w:r>
        <w:rPr>
          <w:b/>
          <w:vanish w:val="false"/>
          <w:sz w:val="24"/>
          <w:rFonts w:ascii="Times New Roman" w:hAnsi="Times New Roman"/>
        </w:rPr>
        <w:t xml:space="preserve">NIZOLARNI HAL ETISH TARTIBI</w:t>
      </w:r>
    </w:p>
    <w:p>
      <w:pPr>
        <w:rPr>
          <w:b/>
          <w:sz w:val="24"/>
        </w:rPr>
      </w:pPr>
      <w:r>
        <w:rPr>
          <w:vanish w:val="false"/>
        </w:rPr>
      </w:r>
    </w:p>
    <w:p>
      <w:pPr>
        <w:jc w:val="both"/>
        <w:ind w:firstLine="426"/>
        <w:rPr>
          <w:sz w:val="24"/>
        </w:rPr>
      </w:pPr>
      <w:r>
        <w:rPr>
          <w:vanish w:val="false"/>
          <w:sz w:val="24"/>
          <w:rFonts w:ascii="Times New Roman" w:hAnsi="Times New Roman"/>
        </w:rPr>
        <w:t>11.1.</w:t>
      </w:r>
      <w:r>
        <w:rPr>
          <w:b/>
          <w:vanish w:val="false"/>
          <w:sz w:val="24"/>
          <w:rFonts w:ascii="Times New Roman" w:hAnsi="Times New Roman"/>
        </w:rPr>
        <w:t xml:space="preserve"> </w:t>
      </w:r>
      <w:r>
        <w:rPr>
          <w:vanish w:val="false"/>
          <w:sz w:val="24"/>
          <w:rFonts w:ascii="Times New Roman" w:hAnsi="Times New Roman"/>
        </w:rPr>
        <w:t xml:space="preserve">Tomonlar mazkur shartnomani bajarish vaqtida yuzaga kelgan kelishmovchilik yoki nizolarni muzokara yoʻli bilan hal etadilar. </w:t>
      </w:r>
    </w:p>
    <w:p>
      <w:pPr>
        <w:jc w:val="both"/>
        <w:ind w:firstLine="425"/>
        <w:rPr>
          <w:color w:val="000000"/>
        </w:rPr>
      </w:pPr>
      <w:r>
        <w:rPr>
          <w:vanish w:val="false"/>
        </w:rPr>
        <w:t xml:space="preserve">11.2. Shartnoma yuzasidan n</w:t>
      </w:r>
      <w:r>
        <w:rPr>
          <w:vanish w:val="false"/>
          <w:color w:val="000000"/>
          <w:rFonts w:ascii="Times New Roman" w:hAnsi="Times New Roman"/>
        </w:rPr>
        <w:t xml:space="preserve">izolar muzokaralar yoʻli bilan hal etilmasa, ular Oʻzbekiston Respublikasi qonunchiligiga asosan sud tartibida hal etiladi.</w:t>
      </w:r>
    </w:p>
    <w:p>
      <w:pPr>
        <w:pStyle w:val="a5"/>
        <w:jc w:val="both"/>
        <w:ind w:left="0" w:firstLine="425"/>
        <w:tabs>
          <w:tab w:val="left" w:pos="1309"/>
        </w:tabs>
        <w:rPr>
          <w:sz w:val="24"/>
          <w:rFonts w:ascii="Times New Roman" w:hAnsi="Times New Roman"/>
        </w:rPr>
      </w:pPr>
      <w:r>
        <w:rPr>
          <w:vanish w:val="false"/>
          <w:sz w:val="24"/>
          <w:rFonts w:ascii="Times New Roman" w:hAnsi="Times New Roman"/>
        </w:rPr>
        <w:t xml:space="preserve">11.3. Mazkur shartnomada koʻzda tutilmagan, u bilan bogʻliq boʻlgan barcha munosabatlar Oʻzbekiston Respublikasi amaldagi qonunchiligi bilan tartibga solinadi.</w:t>
      </w:r>
    </w:p>
    <w:p>
      <w:pPr>
        <w:jc w:val="both"/>
        <w:ind w:firstLine="426"/>
        <w:rPr>
          <w:sz w:val="24"/>
        </w:rPr>
      </w:pPr>
      <w:r>
        <w:rPr>
          <w:vanish w:val="false"/>
          <w:sz w:val="24"/>
          <w:rFonts w:ascii="Times New Roman" w:hAnsi="Times New Roman"/>
        </w:rPr>
        <w:t xml:space="preserve">11.4. Oʻzaro kelishuv imkoniyati boʻlmaganda, huquqi buzilgan taraf yuborgan talabnoma yoki ogohlantirish xatiga ikkinchi taraf mazkur hujjatlarda koʻrsatilgan muddat ichida javob berishi lozim.</w:t>
      </w:r>
    </w:p>
    <w:p>
      <w:pPr>
        <w:jc w:val="both"/>
        <w:ind w:firstLine="426"/>
        <w:rPr>
          <w:sz w:val="24"/>
        </w:rPr>
      </w:pPr>
      <w:r>
        <w:rPr>
          <w:vanish w:val="false"/>
          <w:sz w:val="24"/>
          <w:rFonts w:ascii="Times New Roman" w:hAnsi="Times New Roman"/>
        </w:rPr>
        <w:t xml:space="preserve">11.5. Talabnoma yoki ogohlantirish xati tarafga shaxsan topshirilishi, elektron pochta manziliga yoki pochta aloqa xizmati orqali yuborilishi mumkin.</w:t>
      </w:r>
    </w:p>
    <w:p>
      <w:pPr>
        <w:jc w:val="both"/>
        <w:ind w:firstLine="426"/>
        <w:rPr>
          <w:sz w:val="24"/>
        </w:rPr>
      </w:pPr>
      <w:r>
        <w:rPr>
          <w:vanish w:val="false"/>
          <w:sz w:val="24"/>
          <w:rFonts w:ascii="Times New Roman" w:hAnsi="Times New Roman"/>
        </w:rPr>
        <w:t xml:space="preserve">11.6. Mazkur shartnoma va uning ilovasi bir xil yuridik kuchga ega boʻlgan ikki nusxada tuzilib, shartnomaning bir nusxasi Kreditorda, ikkinchi nusxasi Qarz oluvchida saqlanadi.</w:t>
      </w:r>
    </w:p>
    <w:p>
      <w:pPr>
        <w:jc w:val="both"/>
        <w:ind w:firstLine="426"/>
        <w:rPr>
          <w:sz w:val="24"/>
        </w:rPr>
      </w:pPr>
      <w:r>
        <w:rPr>
          <w:vanish w:val="false"/>
        </w:rPr>
      </w:r>
    </w:p>
    <w:p>
      <w:pPr>
        <w:pStyle w:val="a5"/>
        <w:numPr>
          <w:numId w:val="2"/>
          <w:ilvl w:val="0"/>
        </w:numPr>
        <w:jc w:val="center"/>
        <w:rPr>
          <w:b/>
          <w:sz w:val="24"/>
          <w:rFonts w:ascii="Times New Roman" w:hAnsi="Times New Roman"/>
        </w:rPr>
      </w:pPr>
      <w:r>
        <w:rPr>
          <w:b/>
          <w:vanish w:val="false"/>
          <w:sz w:val="24"/>
          <w:rFonts w:ascii="Times New Roman" w:hAnsi="Times New Roman"/>
        </w:rPr>
        <w:t xml:space="preserve">TOMONLARNING REKVIZITLARI.</w:t>
      </w:r>
    </w:p>
    <w:p>
      <w:pPr>
        <w:jc w:val="center"/>
        <w:ind w:left="991"/>
        <w:rPr>
          <w:b/>
          <w:sz w:val="24"/>
        </w:rPr>
      </w:pPr>
      <w:r>
        <w:rPr>
          <w:vanish w:val="false"/>
        </w:rPr>
      </w:r>
    </w:p>
    <w:tbl>
      <w:tblPr>
        <w:tblW w:w="5000" w:type="pct"/>
      </w:tblPr>
      <w:tblGrid>
        <w:gridCol w:w="3840"/>
        <w:gridCol w:w="846"/>
        <w:gridCol w:w="4668"/>
      </w:tblGrid>
      <w:tr>
        <w:tc>
          <w:tcPr>
            <w:tcW w:w="2053" w:type="pct"/>
            <w:shd w:fill="auto"/>
          </w:tcPr>
          <w:p>
            <w:pPr>
              <w:jc w:val="center"/>
              <w:rPr>
                <w:b/>
              </w:rPr>
            </w:pPr>
            <w:r>
              <w:rPr>
                <w:b/>
                <w:vanish w:val="false"/>
                <w:sz w:val="24"/>
                <w:rFonts w:ascii="Times New Roman" w:hAnsi="Times New Roman"/>
              </w:rPr>
              <w:t xml:space="preserve">Qarz oluvchi</w:t>
            </w:r>
          </w:p>
          <w:p>
            <w:pPr>
              <w:jc w:val="center"/>
            </w:pPr>
            <w:r>
              <w:rPr>
                <w:b/>
                <w:vanish w:val="false"/>
                <w:sz w:val="24"/>
                <w:rFonts w:ascii="Times New Roman" w:hAnsi="Times New Roman"/>
              </w:rPr>
            </w:r>
          </w:p>
        </w:tc>
        <w:tc>
          <w:tcPr>
            <w:tcW w:w="452" w:type="pct"/>
            <w:shd w:fill="auto"/>
          </w:tcPr>
          <w:p>
            <w:pPr>
              <w:jc w:val="center"/>
              <w:rPr>
                <w:b/>
              </w:rPr>
            </w:pPr>
            <w:r>
              <w:rPr>
                <w:vanish w:val="false"/>
              </w:rPr>
            </w:r>
          </w:p>
        </w:tc>
        <w:tc>
          <w:tcPr>
            <w:tcW w:w="2495" w:type="pct"/>
            <w:shd w:fill="auto"/>
          </w:tcPr>
          <w:p>
            <w:pPr>
              <w:jc w:val="center"/>
              <w:rPr>
                <w:b/>
              </w:rPr>
            </w:pPr>
            <w:r>
              <w:rPr>
                <w:b/>
                <w:vanish w:val="false"/>
                <w:sz w:val="24"/>
                <w:rFonts w:ascii="Times New Roman" w:hAnsi="Times New Roman"/>
              </w:rPr>
              <w:t xml:space="preserve">Kreditor </w:t>
            </w:r>
          </w:p>
        </w:tc>
      </w:tr>
      <w:tr>
        <w:tc>
          <w:tcPr>
            <w:tcW w:w="2053" w:type="pct"/>
            <w:shd w:fill="auto"/>
          </w:tcPr>
          <w:p>
            <w:r>
              <w:rPr>
                <w:vanish w:val="false"/>
                <w:sz w:val="24"/>
                <w:rFonts w:ascii="Times New Roman" w:hAnsi="Times New Roman"/>
              </w:rPr>
              <w:fldChar w:fldCharType="begin"/>
              <w:instrText xml:space="preserve">X {"Y":7}</w:instrText>
              <w:fldChar w:fldCharType="separate"/>
              <w:t xml:space="preserve">Qarz oluvchining tugʻilgan sanasi</w:t>
            </w:r>
            <w:r>
              <w:rPr>
                <w:vanish w:val="false"/>
                <w:sz w:val="24"/>
                <w:rFonts w:ascii="Times New Roman" w:hAnsi="Times New Roman"/>
              </w:rPr>
              <w:fldChar w:fldCharType="end"/>
            </w:r>
            <w:r>
              <w:rPr>
                <w:vanish w:val="false"/>
                <w:sz w:val="24"/>
                <w:rFonts w:ascii="Times New Roman" w:hAnsi="Times New Roman"/>
              </w:rPr>
              <w:t xml:space="preserve"> kuni tugʻilgan </w:t>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fldChar w:fldCharType="begin"/>
              <w:instrText xml:space="preserve">X {"Y":15}</w:instrText>
              <w:fldChar w:fldCharType="separate"/>
              <w:t xml:space="preserve">KreditorKreditor bankning nomi va tashkiliy huquqiy shakli</w:t>
            </w:r>
            <w:r>
              <w:rPr>
                <w:vanish w:val="false"/>
                <w:sz w:val="24"/>
                <w:rFonts w:ascii="Times New Roman" w:hAnsi="Times New Roman"/>
              </w:rPr>
              <w:fldChar w:fldCharType="end"/>
            </w:r>
          </w:p>
        </w:tc>
      </w:tr>
      <w:tr>
        <w:tc>
          <w:tcPr>
            <w:tcW w:w="2053" w:type="pct"/>
            <w:shd w:fill="auto"/>
          </w:tcPr>
          <w:p>
            <w:r>
              <w:rPr>
                <w:vanish w:val="false"/>
                <w:sz w:val="24"/>
                <w:rFonts w:ascii="Times New Roman" w:hAnsi="Times New Roman"/>
              </w:rPr>
              <w:t xml:space="preserve">Manzil: </w:t>
            </w:r>
            <w:r>
              <w:rPr>
                <w:vanish w:val="false"/>
                <w:sz w:val="24"/>
                <w:rFonts w:ascii="Times New Roman" w:hAnsi="Times New Roman"/>
              </w:rPr>
              <w:fldChar w:fldCharType="begin"/>
              <w:instrText xml:space="preserve">X {"Y":8}</w:instrText>
              <w:fldChar w:fldCharType="separate"/>
              <w:t xml:space="preserve">Qarz oluvchining manzili</w:t>
            </w:r>
            <w:r>
              <w:rPr>
                <w:vanish w:val="false"/>
                <w:sz w:val="24"/>
                <w:rFonts w:ascii="Times New Roman" w:hAnsi="Times New Roman"/>
              </w:rPr>
              <w:fldChar w:fldCharType="end"/>
            </w:r>
            <w:r>
              <w:rPr>
                <w:vanish w:val="false"/>
                <w:sz w:val="24"/>
                <w:rFonts w:ascii="Times New Roman" w:hAnsi="Times New Roman"/>
              </w:rPr>
              <w:t xml:space="preserve"> </w:t>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fldChar w:fldCharType="begin"/>
              <w:instrText xml:space="preserve">X {"Y":19}</w:instrText>
              <w:fldChar w:fldCharType="separate"/>
              <w:t xml:space="preserve">Bank manzili</w:t>
            </w:r>
            <w:r>
              <w:rPr>
                <w:vanish w:val="false"/>
                <w:sz w:val="24"/>
                <w:rFonts w:ascii="Times New Roman" w:hAnsi="Times New Roman"/>
              </w:rPr>
              <w:fldChar w:fldCharType="end"/>
            </w:r>
          </w:p>
        </w:tc>
      </w:tr>
      <w:tr>
        <w:tc>
          <w:tcPr>
            <w:tcW w:w="2053" w:type="pct"/>
            <w:shd w:fill="auto"/>
          </w:tcPr>
          <w:p>
            <w:r>
              <w:rPr>
                <w:vanish w:val="false"/>
                <w:sz w:val="24"/>
                <w:rFonts w:ascii="Times New Roman" w:hAnsi="Times New Roman"/>
              </w:rPr>
              <w:t xml:space="preserve">Pasport: </w:t>
            </w:r>
            <w:r>
              <w:rPr>
                <w:vanish w:val="false"/>
                <w:sz w:val="24"/>
                <w:rFonts w:ascii="Times New Roman" w:hAnsi="Times New Roman"/>
              </w:rPr>
              <w:fldChar w:fldCharType="begin"/>
              <w:instrText xml:space="preserve">X {"Y":9}</w:instrText>
              <w:fldChar w:fldCharType="separate"/>
              <w:t xml:space="preserve">Qarz oluvchiga pasport berilgan sana</w:t>
            </w:r>
            <w:r>
              <w:rPr>
                <w:vanish w:val="false"/>
                <w:sz w:val="24"/>
                <w:rFonts w:ascii="Times New Roman" w:hAnsi="Times New Roman"/>
              </w:rPr>
              <w:fldChar w:fldCharType="end"/>
            </w:r>
            <w:r>
              <w:rPr>
                <w:vanish w:val="false"/>
                <w:sz w:val="24"/>
                <w:rFonts w:ascii="Times New Roman" w:hAnsi="Times New Roman"/>
              </w:rPr>
              <w:t xml:space="preserve"> kuni</w:t>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t xml:space="preserve">H/r: </w:t>
            </w:r>
            <w:r>
              <w:rPr>
                <w:vanish w:val="false"/>
                <w:sz w:val="24"/>
                <w:rFonts w:ascii="Times New Roman" w:hAnsi="Times New Roman"/>
              </w:rPr>
              <w:fldChar w:fldCharType="begin"/>
              <w:instrText xml:space="preserve">X {"Y":20}</w:instrText>
              <w:fldChar w:fldCharType="separate"/>
              <w:t xml:space="preserve">Bank hisob raqami</w:t>
            </w:r>
            <w:r>
              <w:rPr>
                <w:vanish w:val="false"/>
                <w:sz w:val="24"/>
                <w:rFonts w:ascii="Times New Roman" w:hAnsi="Times New Roman"/>
              </w:rPr>
              <w:fldChar w:fldCharType="end"/>
            </w:r>
          </w:p>
        </w:tc>
      </w:tr>
      <w:tr>
        <w:tc>
          <w:tcPr>
            <w:tcW w:w="2053" w:type="pct"/>
            <w:shd w:fill="auto"/>
          </w:tcPr>
          <w:p>
            <w:r>
              <w:rPr>
                <w:vanish w:val="false"/>
                <w:sz w:val="24"/>
                <w:rFonts w:ascii="Times New Roman" w:hAnsi="Times New Roman"/>
              </w:rPr>
              <w:fldChar w:fldCharType="begin"/>
              <w:instrText xml:space="preserve">X {"Y":10}</w:instrText>
              <w:fldChar w:fldCharType="separate"/>
              <w:t xml:space="preserve">Qarz oluvchining pasport seriyasi va raqami</w:t>
            </w:r>
            <w:r>
              <w:rPr>
                <w:vanish w:val="false"/>
                <w:sz w:val="24"/>
                <w:rFonts w:ascii="Times New Roman" w:hAnsi="Times New Roman"/>
              </w:rPr>
              <w:fldChar w:fldCharType="end"/>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t xml:space="preserve">STIR: </w:t>
            </w:r>
            <w:r>
              <w:rPr>
                <w:vanish w:val="false"/>
                <w:sz w:val="24"/>
                <w:rFonts w:ascii="Times New Roman" w:hAnsi="Times New Roman"/>
              </w:rPr>
              <w:fldChar w:fldCharType="begin"/>
              <w:instrText xml:space="preserve">X {"Y":22}</w:instrText>
              <w:fldChar w:fldCharType="separate"/>
              <w:t xml:space="preserve">Bank STIR raqami</w:t>
            </w:r>
            <w:r>
              <w:rPr>
                <w:vanish w:val="false"/>
                <w:sz w:val="24"/>
                <w:rFonts w:ascii="Times New Roman" w:hAnsi="Times New Roman"/>
              </w:rPr>
              <w:fldChar w:fldCharType="end"/>
            </w:r>
          </w:p>
        </w:tc>
      </w:tr>
      <w:tr>
        <w:tc>
          <w:tcPr>
            <w:tcW w:w="2053" w:type="pct"/>
            <w:shd w:fill="auto"/>
          </w:tcPr>
          <w:p>
            <w:r>
              <w:rPr>
                <w:vanish w:val="false"/>
                <w:sz w:val="24"/>
                <w:rFonts w:ascii="Times New Roman" w:hAnsi="Times New Roman"/>
              </w:rPr>
              <w:fldChar w:fldCharType="begin"/>
              <w:instrText xml:space="preserve">X {"Y":11}</w:instrText>
              <w:fldChar w:fldCharType="separate"/>
              <w:t xml:space="preserve">Qarz oluvchiga pasport bergan IIB nomi</w:t>
            </w:r>
            <w:r>
              <w:rPr>
                <w:vanish w:val="false"/>
                <w:sz w:val="24"/>
                <w:rFonts w:ascii="Times New Roman" w:hAnsi="Times New Roman"/>
              </w:rPr>
              <w:fldChar w:fldCharType="end"/>
            </w:r>
            <w:r>
              <w:rPr>
                <w:vanish w:val="false"/>
                <w:sz w:val="24"/>
                <w:rFonts w:ascii="Times New Roman" w:hAnsi="Times New Roman"/>
              </w:rPr>
              <w:t xml:space="preserve"> tomonidan berilgan</w:t>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t xml:space="preserve">Tel: </w:t>
            </w:r>
            <w:r>
              <w:rPr>
                <w:vanish w:val="false"/>
                <w:sz w:val="24"/>
                <w:rFonts w:ascii="Times New Roman" w:hAnsi="Times New Roman"/>
              </w:rPr>
              <w:fldChar w:fldCharType="begin"/>
              <w:instrText xml:space="preserve">X {"Y":21}</w:instrText>
              <w:fldChar w:fldCharType="separate"/>
              <w:t xml:space="preserve">Bankning telefon raqami</w:t>
            </w:r>
            <w:r>
              <w:rPr>
                <w:vanish w:val="false"/>
                <w:sz w:val="24"/>
                <w:rFonts w:ascii="Times New Roman" w:hAnsi="Times New Roman"/>
              </w:rPr>
              <w:fldChar w:fldCharType="end"/>
            </w:r>
          </w:p>
        </w:tc>
      </w:tr>
      <w:tr>
        <w:tc>
          <w:tcPr>
            <w:tcW w:w="2053" w:type="pct"/>
            <w:shd w:fill="auto"/>
          </w:tcPr>
          <w:p>
            <w:r>
              <w:rPr>
                <w:vanish w:val="false"/>
                <w:sz w:val="24"/>
                <w:rFonts w:ascii="Times New Roman" w:hAnsi="Times New Roman"/>
              </w:rPr>
              <w:t xml:space="preserve">STIR: </w:t>
            </w:r>
            <w:r>
              <w:rPr>
                <w:vanish w:val="false"/>
                <w:sz w:val="24"/>
                <w:rFonts w:ascii="Times New Roman" w:hAnsi="Times New Roman"/>
              </w:rPr>
              <w:fldChar w:fldCharType="begin"/>
              <w:instrText xml:space="preserve">X {"Y":12}</w:instrText>
              <w:fldChar w:fldCharType="separate"/>
              <w:t xml:space="preserve">Qarz oluvchining STIR raqami</w:t>
            </w:r>
            <w:r>
              <w:rPr>
                <w:vanish w:val="false"/>
                <w:sz w:val="24"/>
                <w:rFonts w:ascii="Times New Roman" w:hAnsi="Times New Roman"/>
              </w:rPr>
              <w:fldChar w:fldCharType="end"/>
            </w:r>
          </w:p>
        </w:tc>
        <w:tc>
          <w:tcPr>
            <w:tcW w:w="452" w:type="pct"/>
            <w:shd w:fill="auto"/>
          </w:tcPr>
          <w:p>
            <w:r>
              <w:rPr>
                <w:vanish w:val="false"/>
                <w:sz w:val="24"/>
                <w:rFonts w:ascii="Times New Roman" w:hAnsi="Times New Roman"/>
              </w:rPr>
            </w:r>
          </w:p>
        </w:tc>
        <w:tc>
          <w:tcPr>
            <w:tcW w:w="2495" w:type="pct"/>
            <w:shd w:fill="auto"/>
          </w:tcPr>
          <w:p>
            <w:r>
              <w:rPr>
                <w:vanish w:val="false"/>
                <w:sz w:val="24"/>
                <w:rFonts w:ascii="Times New Roman" w:hAnsi="Times New Roman"/>
              </w:rPr>
            </w:r>
          </w:p>
        </w:tc>
      </w:tr>
      <w:tr>
        <w:tc>
          <w:tcPr>
            <w:tcW w:w="2053" w:type="pct"/>
            <w:shd w:fill="auto"/>
          </w:tcPr>
          <w:p>
            <w:r>
              <w:rPr>
                <w:vanish w:val="false"/>
                <w:sz w:val="24"/>
                <w:rFonts w:ascii="Times New Roman" w:hAnsi="Times New Roman"/>
              </w:rPr>
              <w:t xml:space="preserve">Tel: </w:t>
            </w:r>
            <w:r>
              <w:rPr>
                <w:vanish w:val="false"/>
                <w:sz w:val="24"/>
                <w:rFonts w:ascii="Times New Roman" w:hAnsi="Times New Roman"/>
              </w:rPr>
              <w:fldChar w:fldCharType="begin"/>
              <w:instrText xml:space="preserve">X {"Y":13}</w:instrText>
              <w:fldChar w:fldCharType="separate"/>
              <w:t xml:space="preserve">Qarz oluvchining telefon raqami</w:t>
            </w:r>
            <w:r>
              <w:rPr>
                <w:vanish w:val="false"/>
                <w:sz w:val="24"/>
                <w:rFonts w:ascii="Times New Roman" w:hAnsi="Times New Roman"/>
              </w:rPr>
              <w:fldChar w:fldCharType="end"/>
            </w:r>
          </w:p>
        </w:tc>
        <w:tc>
          <w:tcPr>
            <w:tcW w:w="452" w:type="pct"/>
            <w:shd w:fill="auto"/>
          </w:tcPr>
          <w:p>
            <w:r>
              <w:rPr>
                <w:vanish w:val="false"/>
                <w:sz w:val="24"/>
                <w:rFonts w:ascii="Times New Roman" w:hAnsi="Times New Roman"/>
              </w:rPr>
            </w:r>
          </w:p>
        </w:tc>
        <w:tc>
          <w:tcPr>
            <w:tcW w:w="2495" w:type="pct"/>
            <w:shd w:fill="auto"/>
          </w:tcPr>
          <w:p>
            <w:pPr>
              <w:jc w:val="center"/>
            </w:pPr>
            <w:r>
              <w:rPr>
                <w:vanish w:val="false"/>
                <w:sz w:val="24"/>
                <w:rFonts w:ascii="Times New Roman" w:hAnsi="Times New Roman"/>
              </w:rPr>
            </w:r>
          </w:p>
          <w:p>
            <w:pPr>
              <w:jc w:val="center"/>
            </w:pPr>
            <w:r>
              <w:rPr>
                <w:vanish w:val="false"/>
                <w:sz w:val="24"/>
                <w:rFonts w:ascii="Times New Roman" w:hAnsi="Times New Roman"/>
              </w:rPr>
              <w:fldChar w:fldCharType="begin"/>
              <w:instrText xml:space="preserve">X {"Y":18}</w:instrText>
              <w:fldChar w:fldCharType="separate"/>
              <w:t xml:space="preserve">Bank boshqaruvchisining F.I.O.si</w:t>
            </w:r>
            <w:r>
              <w:rPr>
                <w:vanish w:val="false"/>
                <w:sz w:val="24"/>
                <w:rFonts w:ascii="Times New Roman" w:hAnsi="Times New Roman"/>
              </w:rPr>
              <w:fldChar w:fldCharType="end"/>
            </w:r>
          </w:p>
          <w:p>
            <w:pPr>
              <w:jc w:val="center"/>
            </w:pPr>
            <w:r>
              <w:rPr>
                <w:vanish w:val="false"/>
                <w:sz w:val="24"/>
                <w:rFonts w:ascii="Times New Roman" w:hAnsi="Times New Roman"/>
              </w:rPr>
            </w:r>
          </w:p>
          <w:p>
            <w:pPr>
              <w:jc w:val="center"/>
            </w:pPr>
            <w:r>
              <w:rPr>
                <w:vanish w:val="false"/>
                <w:sz w:val="24"/>
                <w:rFonts w:ascii="Times New Roman" w:hAnsi="Times New Roman"/>
              </w:rPr>
              <w:t>___________________________</w:t>
            </w:r>
          </w:p>
          <w:p>
            <w:pPr>
              <w:jc w:val="center"/>
            </w:pPr>
            <w:r>
              <w:rPr>
                <w:vanish w:val="false"/>
                <w:sz w:val="22"/>
                <w:rFonts w:ascii="Times New Roman" w:hAnsi="Times New Roman"/>
              </w:rPr>
              <w:t xml:space="preserve">(Imzo, muhr)</w:t>
            </w:r>
          </w:p>
        </w:tc>
      </w:tr>
      <w:tr>
        <w:tc>
          <w:tcPr>
            <w:tcW w:w="2053" w:type="pct"/>
            <w:shd w:fill="auto"/>
          </w:tcPr>
          <w:p>
            <w:pPr>
              <w:jc w:val="center"/>
              <w:rPr>
                <w:sz w:val="4"/>
              </w:rPr>
            </w:pPr>
            <w:r>
              <w:rPr>
                <w:vanish w:val="false"/>
                <w:sz w:val="24"/>
                <w:rFonts w:ascii="Times New Roman" w:hAnsi="Times New Roman"/>
              </w:rPr>
              <w:fldChar w:fldCharType="begin"/>
              <w:instrText xml:space="preserve">X {"Y":6}</w:instrText>
              <w:fldChar w:fldCharType="separate"/>
              <w:t xml:space="preserve">Qarz oluvchining F.I.Osi</w:t>
            </w:r>
            <w:r>
              <w:rPr>
                <w:vanish w:val="false"/>
                <w:sz w:val="24"/>
                <w:rFonts w:ascii="Times New Roman" w:hAnsi="Times New Roman"/>
              </w:rPr>
              <w:fldChar w:fldCharType="end"/>
            </w:r>
          </w:p>
          <w:p>
            <w:pPr>
              <w:jc w:val="center"/>
              <w:rPr>
                <w:sz w:val="4"/>
              </w:rPr>
            </w:pPr>
            <w:r>
              <w:rPr>
                <w:vanish w:val="false"/>
                <w:sz w:val="24"/>
                <w:rFonts w:ascii="Times New Roman" w:hAnsi="Times New Roman"/>
              </w:rPr>
            </w:r>
          </w:p>
          <w:p>
            <w:pPr>
              <w:jc w:val="center"/>
              <w:rPr>
                <w:sz w:val="4"/>
              </w:rPr>
            </w:pPr>
            <w:r>
              <w:rPr>
                <w:vanish w:val="false"/>
                <w:sz w:val="24"/>
                <w:rFonts w:ascii="Times New Roman" w:hAnsi="Times New Roman"/>
              </w:rPr>
              <w:t>________________________</w:t>
              <w:br/>
            </w:r>
          </w:p>
        </w:tc>
        <w:tc>
          <w:tcPr>
            <w:tcW w:w="452" w:type="pct"/>
            <w:shd w:fill="auto"/>
          </w:tcPr>
          <w:p>
            <w:r>
              <w:rPr>
                <w:vanish w:val="false"/>
              </w:rPr>
            </w:r>
          </w:p>
        </w:tc>
        <w:tc>
          <w:tcPr>
            <w:tcW w:w="2495" w:type="pct"/>
            <w:shd w:fill="auto"/>
          </w:tcPr>
          <w:p>
            <w:r>
              <w:rPr>
                <w:vanish w:val="false"/>
              </w:rPr>
            </w:r>
          </w:p>
        </w:tc>
      </w:tr>
      <w:tr>
        <w:trPr>
          <w:trHeight w:val="77"/>
        </w:trPr>
        <w:tc>
          <w:tcPr>
            <w:tcW w:w="2053" w:type="pct"/>
            <w:shd w:fill="auto"/>
          </w:tcPr>
          <w:p>
            <w:pPr>
              <w:jc w:val="center"/>
            </w:pPr>
            <w:r>
              <w:rPr>
                <w:vanish w:val="false"/>
              </w:rPr>
              <w:t>imzo</w:t>
            </w:r>
          </w:p>
        </w:tc>
        <w:tc>
          <w:tcPr>
            <w:tcW w:w="452" w:type="pct"/>
            <w:shd w:fill="auto"/>
          </w:tcPr>
          <w:p>
            <w:pPr>
              <w:jc w:val="center"/>
            </w:pPr>
            <w:r>
              <w:rPr>
                <w:vanish w:val="false"/>
              </w:rPr>
            </w:r>
          </w:p>
        </w:tc>
        <w:tc>
          <w:tcPr>
            <w:tcW w:w="2495" w:type="pct"/>
            <w:shd w:fill="auto"/>
          </w:tcPr>
          <w:p>
            <w:r>
              <w:rPr>
                <w:vanish w:val="false"/>
              </w:rPr>
            </w:r>
          </w:p>
        </w:tc>
      </w:tr>
    </w:tbl>
    <w:p>
      <w:pPr>
        <w:jc w:val="center"/>
        <w:rPr>
          <w:b/>
        </w:rPr>
      </w:pPr>
      <w:r>
        <w:rPr>
          <w:vanish w:val="false"/>
        </w:rPr>
      </w:r>
    </w:p>
    <w:p>
      <w:pPr>
        <w:jc w:val="center"/>
        <w:rPr>
          <w:b/>
        </w:rPr>
      </w:pPr>
      <w:r>
        <w:rPr>
          <w:vanish w:val="false"/>
        </w:rPr>
      </w:r>
    </w:p>
    <w:p>
      <w:r>
        <w:rPr>
          <w:vanish w:val="false"/>
        </w:rPr>
      </w:r>
    </w:p>
    <w:p>
      <w:r>
        <w:rPr>
          <w:vanish w:val="false"/>
        </w:rPr>
      </w:r>
    </w:p>
    <w:sectPr>
      <w:pgSz w:w="11906" w:h="16838"/>
      <w:pgMar w:left="1701" w:right="851" w:top="1134" w:bottom="1134" w:header="709" w:footer="709"/>
      <w:footerReference r:id="rId7" w:type="default"/>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613" w:rsidRDefault="00957613">
      <w:r>
        <w:separator/>
      </w:r>
    </w:p>
  </w:endnote>
  <w:endnote w:type="continuationSeparator" w:id="0">
    <w:p w:rsidR="00957613" w:rsidRDefault="00957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571C" w:rsidRDefault="00D76B70">
    <w:pPr>
      <w:pStyle w:val="a3"/>
      <w:jc w:val="right"/>
    </w:pPr>
    <w:r>
      <w:fldChar w:fldCharType="begin"/>
    </w:r>
    <w:r>
      <w:instrText>PAGE   \* MERGEFORMAT</w:instrText>
    </w:r>
    <w:r>
      <w:fldChar w:fldCharType="separate"/>
    </w:r>
    <w:r w:rsidR="006B4C3E">
      <w:rPr>
        <w:noProof/>
      </w:rPr>
      <w:t>6</w:t>
    </w:r>
    <w:r>
      <w:fldChar w:fldCharType="end"/>
    </w:r>
  </w:p>
  <w:p w:rsidR="006F571C" w:rsidRDefault="00D76B70">
    <w:pPr>
      <w:pStyle w:val="a3"/>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613" w:rsidRDefault="00957613">
      <w:r>
        <w:separator/>
      </w:r>
    </w:p>
  </w:footnote>
  <w:footnote w:type="continuationSeparator" w:id="0">
    <w:p w:rsidR="00957613" w:rsidRDefault="009576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C5698"/>
    <w:multiLevelType w:val="multilevel"/>
    <w:tmpl w:val="BC32741E"/>
    <w:lvl w:ilvl="0">
      <w:start w:val="1"/>
      <w:numFmt w:val="decimal"/>
      <w:lvlText w:val="%1."/>
      <w:lvlJc w:val="left"/>
      <w:pPr>
        <w:ind w:left="720" w:hanging="360"/>
      </w:pPr>
      <w:rPr>
        <w:rFonts w:hint="default"/>
      </w:rPr>
    </w:lvl>
    <w:lvl w:ilvl="1">
      <w:start w:val="1"/>
      <w:numFmt w:val="decimal"/>
      <w:isLgl/>
      <w:suff w:val="space"/>
      <w:lvlText w:val="%1.%2."/>
      <w:lvlJc w:val="left"/>
      <w:pPr>
        <w:ind w:left="143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162593D"/>
    <w:multiLevelType w:val="multilevel"/>
    <w:tmpl w:val="3A46186A"/>
    <w:lvl w:ilvl="0">
      <w:start w:val="7"/>
      <w:numFmt w:val="decimal"/>
      <w:suff w:val="space"/>
      <w:lvlText w:val="%1."/>
      <w:lvlJc w:val="left"/>
      <w:pPr>
        <w:ind w:left="720" w:hanging="360"/>
      </w:pPr>
      <w:rPr>
        <w:rFonts w:hint="default"/>
        <w:i w:val="0"/>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A752B8"/>
    <w:multiLevelType w:val="multilevel"/>
    <w:tmpl w:val="C95C5952"/>
    <w:lvl w:ilvl="0">
      <w:start w:val="6"/>
      <w:numFmt w:val="decimal"/>
      <w:suff w:val="space"/>
      <w:lvlText w:val="%1."/>
      <w:lvlJc w:val="left"/>
      <w:pPr>
        <w:ind w:left="720" w:hanging="360"/>
      </w:pPr>
      <w:rPr>
        <w:rFonts w:hint="default"/>
        <w:i w:val="0"/>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C971032"/>
    <w:multiLevelType w:val="hybridMultilevel"/>
    <w:tmpl w:val="4222861A"/>
    <w:lvl w:ilvl="0" w:tplc="3C2CB36A">
      <w:start w:val="1"/>
      <w:numFmt w:val="decimal"/>
      <w:lvlText w:val="%1."/>
      <w:lvlJc w:val="left"/>
      <w:pPr>
        <w:ind w:left="1004" w:hanging="360"/>
      </w:pPr>
      <w:rPr>
        <w:rFonts w:ascii="Times New Roman" w:eastAsia="Calibri" w:hAnsi="Times New Roman" w:cs="Times New Roman"/>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6C566B0A"/>
    <w:multiLevelType w:val="multilevel"/>
    <w:tmpl w:val="48D6A496"/>
    <w:lvl w:ilvl="0">
      <w:start w:val="8"/>
      <w:numFmt w:val="decimal"/>
      <w:suff w:val="space"/>
      <w:lvlText w:val="%1."/>
      <w:lvlJc w:val="left"/>
      <w:pPr>
        <w:ind w:left="360" w:hanging="36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5" w15:restartNumberingAfterBreak="0">
    <w:nsid w:val="7A153B7B"/>
    <w:multiLevelType w:val="hybridMultilevel"/>
    <w:tmpl w:val="B4E43BDE"/>
    <w:lvl w:ilvl="0" w:tplc="6B6A2CA8">
      <w:start w:val="20"/>
      <w:numFmt w:val="decimal"/>
      <w:lvlText w:val="%1."/>
      <w:lvlJc w:val="left"/>
      <w:pPr>
        <w:ind w:left="1364" w:hanging="360"/>
      </w:pPr>
      <w:rPr>
        <w:rFonts w:hint="default"/>
      </w:rPr>
    </w:lvl>
    <w:lvl w:ilvl="1" w:tplc="04190019" w:tentative="1">
      <w:start w:val="1"/>
      <w:numFmt w:val="lowerLetter"/>
      <w:lvlText w:val="%2."/>
      <w:lvlJc w:val="left"/>
      <w:pPr>
        <w:ind w:left="2084" w:hanging="360"/>
      </w:pPr>
    </w:lvl>
    <w:lvl w:ilvl="2" w:tplc="0419001B" w:tentative="1">
      <w:start w:val="1"/>
      <w:numFmt w:val="lowerRoman"/>
      <w:lvlText w:val="%3."/>
      <w:lvlJc w:val="right"/>
      <w:pPr>
        <w:ind w:left="2804" w:hanging="180"/>
      </w:pPr>
    </w:lvl>
    <w:lvl w:ilvl="3" w:tplc="0419000F" w:tentative="1">
      <w:start w:val="1"/>
      <w:numFmt w:val="decimal"/>
      <w:lvlText w:val="%4."/>
      <w:lvlJc w:val="left"/>
      <w:pPr>
        <w:ind w:left="3524" w:hanging="360"/>
      </w:pPr>
    </w:lvl>
    <w:lvl w:ilvl="4" w:tplc="04190019" w:tentative="1">
      <w:start w:val="1"/>
      <w:numFmt w:val="lowerLetter"/>
      <w:lvlText w:val="%5."/>
      <w:lvlJc w:val="left"/>
      <w:pPr>
        <w:ind w:left="4244" w:hanging="360"/>
      </w:pPr>
    </w:lvl>
    <w:lvl w:ilvl="5" w:tplc="0419001B" w:tentative="1">
      <w:start w:val="1"/>
      <w:numFmt w:val="lowerRoman"/>
      <w:lvlText w:val="%6."/>
      <w:lvlJc w:val="right"/>
      <w:pPr>
        <w:ind w:left="4964" w:hanging="180"/>
      </w:pPr>
    </w:lvl>
    <w:lvl w:ilvl="6" w:tplc="0419000F" w:tentative="1">
      <w:start w:val="1"/>
      <w:numFmt w:val="decimal"/>
      <w:lvlText w:val="%7."/>
      <w:lvlJc w:val="left"/>
      <w:pPr>
        <w:ind w:left="5684" w:hanging="360"/>
      </w:pPr>
    </w:lvl>
    <w:lvl w:ilvl="7" w:tplc="04190019" w:tentative="1">
      <w:start w:val="1"/>
      <w:numFmt w:val="lowerLetter"/>
      <w:lvlText w:val="%8."/>
      <w:lvlJc w:val="left"/>
      <w:pPr>
        <w:ind w:left="6404" w:hanging="360"/>
      </w:pPr>
    </w:lvl>
    <w:lvl w:ilvl="8" w:tplc="0419001B" w:tentative="1">
      <w:start w:val="1"/>
      <w:numFmt w:val="lowerRoman"/>
      <w:lvlText w:val="%9."/>
      <w:lvlJc w:val="right"/>
      <w:pPr>
        <w:ind w:left="7124" w:hanging="180"/>
      </w:pPr>
    </w:lvl>
  </w:abstractNum>
  <w:num w:numId="1">
    <w:abstractNumId w:val="1"/>
  </w:num>
  <w:num w:numId="2">
    <w:abstractNumId w:val="4"/>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22F2"/>
    <w:rsid w:val="00001CE8"/>
    <w:rsid w:val="00035C27"/>
    <w:rsid w:val="000658A1"/>
    <w:rsid w:val="001C5CB8"/>
    <w:rsid w:val="00224936"/>
    <w:rsid w:val="002C5822"/>
    <w:rsid w:val="003105FC"/>
    <w:rsid w:val="003473F6"/>
    <w:rsid w:val="003D371F"/>
    <w:rsid w:val="004270DD"/>
    <w:rsid w:val="00482113"/>
    <w:rsid w:val="00552106"/>
    <w:rsid w:val="00614451"/>
    <w:rsid w:val="0064370C"/>
    <w:rsid w:val="006622F2"/>
    <w:rsid w:val="00680B62"/>
    <w:rsid w:val="006B4C3E"/>
    <w:rsid w:val="006C6A3F"/>
    <w:rsid w:val="006D13F4"/>
    <w:rsid w:val="007224FD"/>
    <w:rsid w:val="0072445C"/>
    <w:rsid w:val="00791477"/>
    <w:rsid w:val="007C166F"/>
    <w:rsid w:val="00862942"/>
    <w:rsid w:val="00895807"/>
    <w:rsid w:val="008B604E"/>
    <w:rsid w:val="008C2688"/>
    <w:rsid w:val="00957613"/>
    <w:rsid w:val="00964133"/>
    <w:rsid w:val="009F76B7"/>
    <w:rsid w:val="00A12653"/>
    <w:rsid w:val="00AA38B1"/>
    <w:rsid w:val="00AB42BF"/>
    <w:rsid w:val="00B21EFE"/>
    <w:rsid w:val="00B55468"/>
    <w:rsid w:val="00BA5E37"/>
    <w:rsid w:val="00BD5877"/>
    <w:rsid w:val="00C54F9F"/>
    <w:rsid w:val="00C55BCC"/>
    <w:rsid w:val="00CD513F"/>
    <w:rsid w:val="00D6043E"/>
    <w:rsid w:val="00D76B70"/>
    <w:rsid w:val="00DB7258"/>
    <w:rsid w:val="00E36C13"/>
    <w:rsid w:val="00E431C5"/>
    <w:rsid w:val="00E604A5"/>
    <w:rsid w:val="00E90997"/>
    <w:rsid w:val="00E9258E"/>
    <w:rsid w:val="00EE4CF5"/>
    <w:rsid w:val="00EE6870"/>
    <w:rsid w:val="00F66FF5"/>
    <w:rsid w:val="00F76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3B0AB"/>
  <w15:chartTrackingRefBased/>
  <w15:docId w15:val="{A00453A4-BE20-475D-8BC3-57DB1320C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43E"/>
    <w:pPr>
      <w:spacing w:after="0" w:line="240" w:lineRule="auto"/>
    </w:pPr>
    <w:rPr>
      <w:rFonts w:ascii="Times New Roman" w:eastAsia="Times New Roman" w:hAnsi="Times New Roman" w:cs="Times New Roman"/>
      <w:szCs w:val="20"/>
      <w:lang w:eastAsia="ru-RU"/>
    </w:rPr>
  </w:style>
  <w:style w:type="paragraph" w:styleId="1">
    <w:name w:val="heading 1"/>
    <w:basedOn w:val="a"/>
    <w:next w:val="a"/>
    <w:link w:val="10"/>
    <w:qFormat/>
    <w:rsid w:val="00D6043E"/>
    <w:pPr>
      <w:keepNext/>
      <w:ind w:right="-108"/>
      <w:jc w:val="both"/>
      <w:outlineLvl w:val="0"/>
    </w:pPr>
    <w:rPr>
      <w:sz w:val="28"/>
      <w:szCs w:val="24"/>
    </w:rPr>
  </w:style>
  <w:style w:type="paragraph" w:styleId="2">
    <w:name w:val="heading 2"/>
    <w:basedOn w:val="a"/>
    <w:next w:val="a"/>
    <w:link w:val="20"/>
    <w:qFormat/>
    <w:rsid w:val="00D6043E"/>
    <w:pPr>
      <w:keepNext/>
      <w:jc w:val="both"/>
      <w:outlineLvl w:val="1"/>
    </w:pPr>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6043E"/>
    <w:rPr>
      <w:rFonts w:ascii="Times New Roman" w:eastAsia="Times New Roman" w:hAnsi="Times New Roman" w:cs="Times New Roman"/>
      <w:sz w:val="28"/>
      <w:szCs w:val="24"/>
      <w:lang w:eastAsia="ru-RU"/>
    </w:rPr>
  </w:style>
  <w:style w:type="character" w:customStyle="1" w:styleId="20">
    <w:name w:val="Заголовок 2 Знак"/>
    <w:basedOn w:val="a0"/>
    <w:link w:val="2"/>
    <w:rsid w:val="00D6043E"/>
    <w:rPr>
      <w:rFonts w:ascii="Times New Roman" w:eastAsia="Times New Roman" w:hAnsi="Times New Roman" w:cs="Times New Roman"/>
      <w:sz w:val="28"/>
      <w:szCs w:val="24"/>
      <w:lang w:eastAsia="ru-RU"/>
    </w:rPr>
  </w:style>
  <w:style w:type="paragraph" w:styleId="a3">
    <w:name w:val="footer"/>
    <w:basedOn w:val="a"/>
    <w:link w:val="a4"/>
    <w:unhideWhenUsed/>
    <w:rsid w:val="00D6043E"/>
    <w:pPr>
      <w:tabs>
        <w:tab w:val="center" w:pos="4677"/>
        <w:tab w:val="right" w:pos="9355"/>
      </w:tabs>
    </w:pPr>
    <w:rPr>
      <w:rFonts w:ascii="Calibri" w:eastAsia="Calibri" w:hAnsi="Calibri"/>
      <w:szCs w:val="22"/>
      <w:lang w:eastAsia="en-US"/>
    </w:rPr>
  </w:style>
  <w:style w:type="character" w:customStyle="1" w:styleId="a4">
    <w:name w:val="Нижний колонтитул Знак"/>
    <w:basedOn w:val="a0"/>
    <w:link w:val="a3"/>
    <w:rsid w:val="00D6043E"/>
    <w:rPr>
      <w:rFonts w:ascii="Calibri" w:eastAsia="Calibri" w:hAnsi="Calibri" w:cs="Times New Roman"/>
    </w:rPr>
  </w:style>
  <w:style w:type="paragraph" w:styleId="a5">
    <w:name w:val="List Paragraph"/>
    <w:aliases w:val="List Paragraph1,Recommendation,List Paragraph11,Bulleted List Paragraph,Bullets,ADB List Paragraph,Colorful List - Accent 11,Paragraph,CPS,List_Paragraph,Multilevel para_II,data item,Bullet list,Numbered Paragraph,# pharagraph,Dot pt"/>
    <w:basedOn w:val="a"/>
    <w:link w:val="a6"/>
    <w:uiPriority w:val="34"/>
    <w:qFormat/>
    <w:rsid w:val="00D6043E"/>
    <w:pPr>
      <w:ind w:left="708"/>
    </w:pPr>
  </w:style>
  <w:style w:type="paragraph" w:styleId="3">
    <w:name w:val="Body Text Indent 3"/>
    <w:basedOn w:val="a"/>
    <w:link w:val="30"/>
    <w:unhideWhenUsed/>
    <w:rsid w:val="00D6043E"/>
    <w:pPr>
      <w:spacing w:after="120"/>
      <w:ind w:left="283"/>
    </w:pPr>
    <w:rPr>
      <w:sz w:val="16"/>
      <w:szCs w:val="16"/>
      <w:lang w:val="x-none" w:eastAsia="x-none"/>
    </w:rPr>
  </w:style>
  <w:style w:type="character" w:customStyle="1" w:styleId="30">
    <w:name w:val="Основной текст с отступом 3 Знак"/>
    <w:basedOn w:val="a0"/>
    <w:link w:val="3"/>
    <w:rsid w:val="00D6043E"/>
    <w:rPr>
      <w:rFonts w:ascii="Times New Roman" w:eastAsia="Times New Roman" w:hAnsi="Times New Roman" w:cs="Times New Roman"/>
      <w:sz w:val="16"/>
      <w:szCs w:val="16"/>
      <w:lang w:val="x-none" w:eastAsia="x-none"/>
    </w:rPr>
  </w:style>
  <w:style w:type="paragraph" w:styleId="a7">
    <w:name w:val="No Spacing"/>
    <w:uiPriority w:val="1"/>
    <w:qFormat/>
    <w:rsid w:val="00B21EFE"/>
    <w:pPr>
      <w:spacing w:after="0" w:line="240" w:lineRule="auto"/>
    </w:pPr>
    <w:rPr>
      <w:rFonts w:ascii="Times New Roman" w:eastAsia="Times New Roman" w:hAnsi="Times New Roman" w:cs="Times New Roman"/>
      <w:sz w:val="24"/>
      <w:szCs w:val="24"/>
      <w:lang w:eastAsia="ru-RU"/>
    </w:rPr>
  </w:style>
  <w:style w:type="character" w:customStyle="1" w:styleId="a6">
    <w:name w:val="Абзац списка Знак"/>
    <w:aliases w:val="List Paragraph1 Знак,Recommendation Знак,List Paragraph11 Знак,Bulleted List Paragraph Знак,Bullets Знак,ADB List Paragraph Знак,Colorful List - Accent 11 Знак,Paragraph Знак,CPS Знак,List_Paragraph Знак,Multilevel para_II Знак"/>
    <w:link w:val="a5"/>
    <w:uiPriority w:val="34"/>
    <w:qFormat/>
    <w:locked/>
    <w:rsid w:val="007C166F"/>
    <w:rPr>
      <w:rFonts w:ascii="Times New Roman" w:eastAsia="Times New Roman" w:hAnsi="Times New Roman" w:cs="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7</Pages>
  <Words>2602</Words>
  <Characters>14838</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134</cp:revision>
  <dcterms:created xsi:type="dcterms:W3CDTF">2021-12-02T10:44:00Z</dcterms:created>
  <dcterms:modified xsi:type="dcterms:W3CDTF">2021-12-03T06:34:00Z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Qarz oluvchi</w:name>
    <w:value w:hidden="true">
      <w:unit w:active="false"/>
    </w:value>
  </w:element>
  <w:element w:id="6" w:kind="variable" w:selector="check" w:type="string" w:valueMode="normal" w:required="false" w:groupID="5">
    <w:identifier xml:space="preserve">ID6</w:identifier>
    <w:name xml:space="preserve">Qarz oluvchining F.I.Osi</w:name>
    <w:value w:hidden="false">
      <w:unit w:active="false"/>
    </w:value>
  </w:element>
  <w:element w:id="7" w:kind="variable" w:selector="check" w:type="string" w:valueMode="normal" w:required="false" w:groupID="5">
    <w:identifier xml:space="preserve">ID7</w:identifier>
    <w:name xml:space="preserve">Qarz oluvchining tugʻilgan sanasi</w:name>
    <w:value w:hidden="false">
      <w:unit w:active="false"/>
    </w:value>
  </w:element>
  <w:element w:id="8" w:kind="variable" w:selector="check" w:type="string" w:valueMode="normal" w:required="false" w:groupID="5">
    <w:identifier xml:space="preserve">ID8</w:identifier>
    <w:name xml:space="preserve">Qarz oluvchining manzili</w:name>
    <w:value w:hidden="false">
      <w:unit w:active="false"/>
    </w:value>
  </w:element>
  <w:element w:id="9" w:kind="variable" w:selector="check" w:type="date" w:valueMode="normal" w:required="false" w:groupID="5">
    <w:identifier xml:space="preserve">ID9</w:identifier>
    <w:name xml:space="preserve">Qarz oluvchiga pasport berilgan sana</w:name>
    <w:value w:hidden="false">
      <w:unit w:active="false"/>
    </w:value>
  </w:element>
  <w:element w:id="10" w:kind="variable" w:selector="check" w:type="string" w:valueMode="normal" w:required="false" w:groupID="5">
    <w:identifier xml:space="preserve">ID10</w:identifier>
    <w:name xml:space="preserve">Qarz oluvchining pasport seriyasi va raqami</w:name>
    <w:value w:hidden="false">
      <w:unit w:active="false"/>
    </w:value>
  </w:element>
  <w:element w:id="11" w:kind="variable" w:selector="check" w:type="string" w:valueMode="normal" w:required="false" w:groupID="5">
    <w:identifier xml:space="preserve">ID11</w:identifier>
    <w:name xml:space="preserve">Qarz oluvchiga pasport bergan IIB nomi</w:name>
    <w:value w:hidden="false">
      <w:unit w:active="false"/>
    </w:value>
  </w:element>
  <w:element w:id="12" w:kind="variable" w:selector="check" w:type="string" w:valueMode="normal" w:required="false" w:groupID="5">
    <w:identifier xml:space="preserve">ID12</w:identifier>
    <w:name xml:space="preserve">Qarz oluvchining STIR raqami</w:name>
    <w:value w:hidden="false">
      <w:unit w:active="false"/>
    </w:value>
  </w:element>
  <w:element w:id="13" w:kind="variable" w:selector="check" w:type="string" w:valueMode="normal" w:required="false" w:groupID="5">
    <w:identifier xml:space="preserve">ID13</w:identifier>
    <w:name xml:space="preserve">Qarz oluvchining telefon raqami</w:name>
    <w:value w:hidden="false">
      <w:unit w:active="false"/>
    </w:value>
  </w:element>
  <w:element w:id="14" w:kind="category" w:selector="check" w:type="string" w:valueMode="normal" w:required="false">
    <w:identifier xml:space="preserve">ID14</w:identifier>
    <w:name xml:space="preserve">Kreditor</w:name>
    <w:value w:hidden="true">
      <w:unit w:active="false"/>
    </w:value>
  </w:element>
  <w:element w:id="15" w:kind="variable" w:selector="check" w:type="string" w:valueMode="normal" w:required="false" w:groupID="14">
    <w:identifier xml:space="preserve">ID15</w:identifier>
    <w:name xml:space="preserve">KreditorKreditor bankning nomi va tashkiliy huquqiy shakli</w:name>
    <w:value w:hidden="false">
      <w:unit w:active="false"/>
    </w:value>
  </w:element>
  <w:element w:id="16" w:kind="variable" w:selector="check" w:type="string" w:valueMode="normal" w:required="false" w:groupID="14">
    <w:identifier xml:space="preserve">ID16</w:identifier>
    <w:name xml:space="preserve">Bank boshqaruvchisiga ishonchnoma berilgan sana</w:name>
    <w:value w:hidden="false">
      <w:unit w:active="false"/>
    </w:value>
  </w:element>
  <w:element w:id="17" w:kind="variable" w:selector="check" w:type="string" w:valueMode="normal" w:required="false" w:groupID="14">
    <w:identifier xml:space="preserve">ID17</w:identifier>
    <w:name xml:space="preserve">Bank boshqaruvchisiga berilgan ishonchnoma raqami</w:name>
    <w:value w:hidden="false">
      <w:unit w:active="false"/>
    </w:value>
  </w:element>
  <w:element w:id="18" w:kind="variable" w:selector="check" w:type="string" w:valueMode="normal" w:required="false" w:groupID="14">
    <w:identifier xml:space="preserve">ID18</w:identifier>
    <w:name xml:space="preserve">Bank boshqaruvchisining F.I.O.si</w:name>
    <w:value w:hidden="false">
      <w:unit w:active="false"/>
    </w:value>
  </w:element>
  <w:element w:id="19" w:kind="variable" w:selector="check" w:type="string" w:valueMode="normal" w:required="false" w:groupID="14">
    <w:identifier xml:space="preserve">ID19</w:identifier>
    <w:name xml:space="preserve">Bank manzili</w:name>
    <w:value w:hidden="false">
      <w:unit w:active="false"/>
    </w:value>
  </w:element>
  <w:element w:id="20" w:kind="variable" w:selector="check" w:type="string" w:valueMode="normal" w:required="false" w:groupID="14">
    <w:identifier xml:space="preserve">ID20</w:identifier>
    <w:name xml:space="preserve">Bank hisob raqami</w:name>
    <w:value w:hidden="false">
      <w:unit w:active="false"/>
    </w:value>
  </w:element>
  <w:element w:id="21" w:kind="variable" w:selector="check" w:type="string" w:valueMode="normal" w:required="false" w:groupID="14">
    <w:identifier xml:space="preserve">ID21</w:identifier>
    <w:name xml:space="preserve">Bankning telefon raqami</w:name>
    <w:value w:hidden="false">
      <w:unit w:active="false"/>
    </w:value>
  </w:element>
  <w:element w:id="22" w:kind="variable" w:selector="check" w:type="string" w:valueMode="normal" w:required="false" w:groupID="14">
    <w:identifier xml:space="preserve">ID22</w:identifier>
    <w:name xml:space="preserve">Bank STIR raqami</w:name>
    <w:value w:hidden="false">
      <w:unit w:active="false"/>
    </w:value>
  </w:element>
  <w:element w:id="23" w:kind="category" w:selector="check" w:type="string" w:valueMode="normal" w:required="false">
    <w:identifier xml:space="preserve">ID23</w:identifier>
    <w:name xml:space="preserve">Shartnoma mazmuni</w:name>
    <w:value w:hidden="true">
      <w:unit w:active="false"/>
    </w:value>
  </w:element>
  <w:element w:id="24" w:kind="variable" w:selector="check" w:type="string" w:valueMode="normal" w:required="false" w:groupID="23">
    <w:identifier xml:space="preserve">ID24</w:identifier>
    <w:name xml:space="preserve">Mikroqarz summasi</w:name>
    <w:comment xml:space="preserve">Изоҳ: рақам ва сўз билан ёзилади </w:comment>
    <w:value w:hidden="false">
      <w:unit w:active="false"/>
    </w:value>
  </w:element>
  <w:element w:id="25" w:kind="variable" w:selector="check" w:type="string" w:valueMode="normal" w:required="false" w:groupID="23">
    <w:identifier xml:space="preserve">ID25</w:identifier>
    <w:name xml:space="preserve">Mikroqarzdan foydalanish muddati (oy)</w:name>
    <w:value w:hidden="false">
      <w:unit w:active="false"/>
    </w:value>
  </w:element>
  <w:element w:id="26" w:kind="variable" w:selector="check" w:type="date" w:valueMode="normal" w:required="false" w:groupID="23">
    <w:identifier xml:space="preserve">ID26</w:identifier>
    <w:name xml:space="preserve">Mikroqarz summasining soʻnggi qaytarish sanasi</w:name>
    <w:value w:hidden="false">
      <w:unit w:active="false"/>
    </w:value>
  </w:element>
  <w:element w:id="27" w:kind="variable" w:selector="check" w:type="string" w:valueMode="normal" w:required="false" w:groupID="23">
    <w:identifier xml:space="preserve">ID27</w:identifier>
    <w:name xml:space="preserve">Mikroqarz boʻyicha yillik foiz stavkasi</w:name>
    <w:value w:hidden="false">
      <w:unit w:active="false"/>
    </w:value>
  </w:element>
  <w:element w:id="28" w:kind="variable" w:selector="check" w:type="string" w:valueMode="normal" w:required="false" w:groupID="23">
    <w:identifier xml:space="preserve">ID28</w:identifier>
    <w:name xml:space="preserve">Garovga qoʻyilgan mulkka shikast yetkazilganda, yaroqsiz holga kelganda yoki kafil toʻlov qobiliyatini yoʻqotganda qarz oluvchi bu haqida necha ish kuni ichida kreditorga xabar berishi lozim</w:name>
    <w:value w:hidden="false">
      <w:unit w:active="false"/>
    </w:value>
  </w:element>
  <w:element w:id="29" w:kind="variable" w:selector="check" w:type="string" w:valueMode="normal" w:required="false" w:groupID="23">
    <w:identifier xml:space="preserve">ID29</w:identifier>
    <w:name xml:space="preserve">Qarz oluvchining shartnomada belgilanganidan boshqa huquqlari</w:name>
    <w:value w:hidden="false">
      <w:unit w:active="false"/>
    </w:value>
  </w:element>
  <w:element w:id="30" w:kind="variable" w:selector="check" w:type="string" w:valueMode="normal" w:required="false" w:groupID="23">
    <w:identifier xml:space="preserve">ID30</w:identifier>
    <w:name xml:space="preserve">Kreditorning shartnomada belgilanganidan boshqa huquqlari</w:name>
    <w:value w:hidden="false">
      <w:unit w:active="false"/>
    </w:value>
  </w:element>
  <w:element w:id="31" w:kind="variable" w:selector="check" w:type="string" w:valueMode="normal" w:required="false" w:groupID="23">
    <w:identifier xml:space="preserve">ID31</w:identifier>
    <w:name xml:space="preserve">Asosiy qarz va foizlar oʻz muddatida toʻlanmagan taqdirda, toʻlov kechikkan har bir kun uchun toʻlanishi lozi boʻlgan penya miqdori</w:name>
    <w:comment xml:space="preserve">Изоҳ: Қонунчиликка кўра пеня миқдори тўланмаган сумманинг 0.5 фоизидан ошмаслиги лозим</w:comment>
    <w:value w:hidden="false">
      <w:unit w:active="false"/>
    </w:value>
  </w:element>
  <w:element w:id="32" w:kind="variable" w:selector="check" w:type="string" w:valueMode="normal" w:required="false" w:groupID="23">
    <w:identifier xml:space="preserve">ID32</w:identifier>
    <w:name xml:space="preserve">Mikroqarz mablagʻlarini bermaganlik yoki oʻz vaqtida bermaganlik uchun kreditor har bir kun uchun toʻlashi lozi boʻlgan penya miqdori</w:name>
    <w:comment xml:space="preserve">Изоҳ: Қонунчиликка кўра пеня миқдори берилмаган пул маблағлари сумманинг 0.4 фоизидан ошмаслиги лозим</w:comment>
    <w:value w:hidden="false">
      <w:unit w:active="false"/>
    </w:value>
  </w:element>
  <w:element w:id="33" w:kind="variable" w:selector="check" w:type="string" w:valueMode="normal" w:required="false" w:groupID="23">
    <w:identifier xml:space="preserve">ID33</w:identifier>
    <w:name xml:space="preserve">Ajratilgan mikroqarz qaytarilishi uchun taʼminot nomi yoki kafilning F.I.Shsi</w:name>
    <w:value w:hidden="false">
      <w:unit w:active="false"/>
    </w:value>
  </w:element>
  <w:element w:id="34" w:kind="variable" w:selector="check" w:type="string" w:valueMode="normal" w:required="false" w:groupID="23">
    <w:identifier xml:space="preserve">ID34</w:identifier>
    <w:name xml:space="preserve">Qarz oluvchi kreditni qaytarish jadvaliga necha marta amal qilmaganda Kreditor shartnomani muddatidan oldin bekor qilishni talab qilish huquqiga ega</w:name>
    <w:value w:hidden="false">
      <w:unit w:active="false"/>
    </w:value>
  </w:element>
  <w:element w:id="35" w:kind="variable" w:selector="check" w:type="string" w:valueMode="normal" w:required="false" w:groupID="23">
    <w:identifier xml:space="preserve">ID35</w:identifier>
    <w:name xml:space="preserve">Fors-major holatiga tushgan taraf bu haqida ikkinchi tomonni xabardor qilishi uchun belgilangan muddat</w:name>
    <w:comment xml:space="preserve">Изоҳ: Ушбу муддат кунлар билан ҳисобланади  </w:comment>
    <w:value w:hidden="false">
      <w:unit w:active="false"/>
    </w:value>
  </w:element>
</w:structure>
</file>