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b"/>
        <w:tblW w:w="0" w:type="auto"/>
        <w:tblInd w:w="365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04"/>
      </w:tblGrid>
      <w:tr>
        <w:tc>
          <w:tcPr>
            <w:tcW w:w="5706" w:type="dxa"/>
          </w:tcPr>
          <w:p>
            <w:pPr>
              <w:jc w:val="right"/>
              <w:ind w:left="1026"/>
              <w:spacing w:after="0" w:line="276" w:lineRule="auto"/>
              <w:rPr>
                <w:b/>
                <w:sz w:val="24"/>
                <w:rFonts w:ascii="Times New Roman" w:hAnsi="Times New Roman"/>
              </w:rPr>
            </w:pPr>
            <w:r>
              <w:rPr>
                <w:b/>
                <w:sz w:val="24"/>
                <w:rFonts w:ascii="Times New Roman" w:hAnsi="Times New Roman"/>
              </w:rPr>
              <w:t xml:space="preserve">Fuqarolik ishlari boʻyicha </w:t>
            </w:r>
          </w:p>
          <w:p>
            <w:pPr>
              <w:jc w:val="right"/>
              <w:ind w:left="1026"/>
              <w:spacing w:after="0" w:line="276" w:lineRule="auto"/>
              <w:rPr>
                <w:b/>
                <w:sz w:val="24"/>
                <w:rFonts w:ascii="Times New Roman" w:hAnsi="Times New Roman"/>
              </w:rPr>
            </w:pPr>
            <w:r>
              <w:rPr>
                <w:b/>
                <w:vanish w:val="false"/>
                <w:sz w:val="24"/>
                <w:rFonts w:ascii="Times New Roman" w:hAnsi="Times New Roman"/>
              </w:rPr>
              <w:fldChar w:fldCharType="begin"/>
              <w:instrText xml:space="preserve">X {"Y":2}</w:instrText>
              <w:fldChar w:fldCharType="separate"/>
              <w:t xml:space="preserve">Daʼvo ariza berilgan fuqarolik ishlari bo‘yicha sud nomi</w:t>
            </w:r>
            <w:r>
              <w:rPr>
                <w:b/>
                <w:vanish w:val="false"/>
                <w:sz w:val="24"/>
                <w:rFonts w:ascii="Times New Roman" w:hAnsi="Times New Roman"/>
              </w:rPr>
              <w:fldChar w:fldCharType="end"/>
            </w:r>
            <w:r>
              <w:rPr>
                <w:b/>
                <w:sz w:val="24"/>
                <w:rFonts w:ascii="Times New Roman" w:hAnsi="Times New Roman"/>
              </w:rPr>
              <w:t>ga</w:t>
            </w:r>
          </w:p>
        </w:tc>
      </w:tr>
      <w:tr>
        <w:tc>
          <w:tcPr>
            <w:tcW w:w="5706" w:type="dxa"/>
          </w:tcPr>
          <w:p>
            <w:pPr>
              <w:jc w:val="right"/>
              <w:ind w:left="1026"/>
              <w:spacing w:after="0" w:line="276" w:lineRule="auto"/>
              <w:rPr>
                <w:sz w:val="24"/>
                <w:rFonts w:ascii="Times New Roman" w:hAnsi="Times New Roman"/>
              </w:rPr>
            </w:pPr>
          </w:p>
        </w:tc>
      </w:tr>
      <w:tr>
        <w:tc>
          <w:tcPr>
            <w:tcW w:w="5706" w:type="dxa"/>
          </w:tcPr>
          <w:p>
            <w:pPr>
              <w:jc w:val="right"/>
              <w:ind w:left="1026"/>
              <w:spacing w:after="0" w:line="276"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5706" w:type="dxa"/>
          </w:tcPr>
          <w:p>
            <w:pPr>
              <w:jc w:val="right"/>
              <w:ind w:left="1026"/>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5706" w:type="dxa"/>
          </w:tcPr>
          <w:p>
            <w:pPr>
              <w:jc w:val="right"/>
              <w:ind w:left="1026"/>
              <w:spacing w:after="0" w:line="276" w:lineRule="auto"/>
              <w:rPr>
                <w:i/>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1026"/>
              <w:spacing w:after="0" w:line="276" w:lineRule="auto"/>
              <w:rPr>
                <w:i/>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706" w:type="dxa"/>
          </w:tcPr>
          <w:p>
            <w:pPr>
              <w:jc w:val="right"/>
              <w:ind w:left="1026"/>
              <w:spacing w:after="0" w:line="276" w:lineRule="auto"/>
              <w:rPr>
                <w:b/>
                <w:sz w:val="24"/>
                <w:rFonts w:ascii="Times New Roman" w:hAnsi="Times New Roman"/>
              </w:rPr>
            </w:pPr>
          </w:p>
        </w:tc>
      </w:tr>
      <w:tr>
        <w:tc>
          <w:tcPr>
            <w:tcW w:w="5706" w:type="dxa"/>
          </w:tcPr>
          <w:p>
            <w:pPr>
              <w:jc w:val="right"/>
              <w:ind w:left="1026"/>
              <w:spacing w:after="0" w:line="276" w:lineRule="auto"/>
              <w:rPr>
                <w:b/>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706" w:type="dxa"/>
          </w:tcPr>
          <w:p>
            <w:pPr>
              <w:jc w:val="right"/>
              <w:ind w:left="1026"/>
              <w:spacing w:after="0" w:line="276" w:lineRule="auto"/>
              <w:rPr>
                <w:i/>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tc>
      </w:tr>
      <w:tr>
        <w:tc>
          <w:tcPr>
            <w:tcW w:w="5706" w:type="dxa"/>
          </w:tcPr>
          <w:p>
            <w:pPr>
              <w:jc w:val="right"/>
              <w:ind w:left="1026"/>
              <w:spacing w:after="0" w:line="276" w:lineRule="auto"/>
              <w:rPr>
                <w:i/>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p>
          <w:p>
            <w:pPr>
              <w:jc w:val="right"/>
              <w:ind w:left="1026"/>
              <w:spacing w:after="0" w:line="276" w:lineRule="auto"/>
              <w:rPr>
                <w:i/>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jc w:val="both"/>
        <w:ind w:firstLine="540"/>
        <w:spacing w:after="0" w:line="276" w:lineRule="auto"/>
        <w:rPr>
          <w:sz w:val="24"/>
          <w:rFonts w:ascii="Times New Roman" w:hAnsi="Times New Roman"/>
        </w:rPr>
      </w:pPr>
    </w:p>
    <w:p>
      <w:pPr>
        <w:jc w:val="both"/>
        <w:ind w:firstLine="540"/>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D A ʼ V O   A R I Z A </w:t>
      </w:r>
    </w:p>
    <w:p>
      <w:pPr>
        <w:jc w:val="center"/>
        <w:spacing w:after="0" w:line="276" w:lineRule="auto"/>
        <w:rPr>
          <w:b/>
          <w:sz w:val="24"/>
          <w:rFonts w:ascii="Times New Roman" w:hAnsi="Times New Roman"/>
        </w:rPr>
      </w:pPr>
      <w:r>
        <w:rPr>
          <w:i/>
          <w:sz w:val="24"/>
          <w:rFonts w:ascii="Times New Roman" w:hAnsi="Times New Roman"/>
        </w:rPr>
        <w:t xml:space="preserve">(Mol-mulkdan foydalanish boʻyicha toʻsqinliklarni bartaraf etish haqida)</w:t>
      </w:r>
    </w:p>
    <w:p>
      <w:pPr>
        <w:jc w:val="center"/>
        <w:spacing w:after="0" w:line="276" w:lineRule="auto"/>
        <w:rPr>
          <w:b/>
          <w:sz w:val="24"/>
          <w:rFonts w:ascii="Times New Roman" w:hAnsi="Times New Roman"/>
        </w:rPr>
      </w:pPr>
      <w:r>
        <w:rPr>
          <w:i/>
          <w:sz w:val="24"/>
          <w:rFonts w:ascii="Times New Roman" w:hAnsi="Times New Roman"/>
        </w:rPr>
      </w:r>
    </w:p>
    <w:p>
      <w:pPr>
        <w:jc w:val="both"/>
        <w:ind w:firstLine="540"/>
        <w:spacing w:after="0" w:line="276" w:lineRule="auto"/>
        <w:rPr>
          <w:sz w:val="24"/>
          <w:rFonts w:ascii="Times New Roman" w:hAnsi="Times New Roman"/>
        </w:rPr>
      </w:pPr>
    </w:p>
    <w:p>
      <w:pPr>
        <w:jc w:val="both"/>
        <w:ind w:firstLine="709"/>
        <w:spacing w:after="0" w:line="276" w:lineRule="auto"/>
        <w:outlineLvl w:val="0"/>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w:instrText>
        <w:fldChar w:fldCharType="separate"/>
        <w:t xml:space="preserve">Daʼvogar bilan javobgar turmush qurgan sana</w:t>
      </w:r>
      <w:r>
        <w:rPr>
          <w:vanish w:val="false"/>
          <w:sz w:val="24"/>
          <w:rFonts w:ascii="Times New Roman" w:hAnsi="Times New Roman"/>
        </w:rPr>
        <w:fldChar w:fldCharType="end"/>
      </w:r>
      <w:r>
        <w:rPr>
          <w:sz w:val="24"/>
          <w:rFonts w:ascii="Times New Roman" w:hAnsi="Times New Roman"/>
        </w:rPr>
        <w:t xml:space="preserve"> kuni 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bilan qonuniy nikohdan oʻtib turmush qurganmiz. </w:t>
      </w:r>
    </w:p>
    <w:p>
      <w:pPr>
        <w:jc w:val="both"/>
        <w:ind w:firstLine="709"/>
        <w:spacing w:after="0" w:line="276" w:lineRule="auto"/>
        <w:outlineLvl w:val="0"/>
        <w:rPr>
          <w:sz w:val="24"/>
          <w:rFonts w:ascii="Times New Roman" w:hAnsi="Times New Roman"/>
        </w:rPr>
      </w:pPr>
      <w:r>
        <w:rPr>
          <w:sz w:val="24"/>
          <w:rFonts w:ascii="Times New Roman" w:hAnsi="Times New Roman"/>
        </w:rPr>
        <w:t xml:space="preserve">Biz yashab kelgan </w:t>
      </w:r>
      <w:r>
        <w:rPr>
          <w:vanish w:val="false"/>
          <w:sz w:val="24"/>
          <w:rFonts w:ascii="Times New Roman" w:hAnsi="Times New Roman"/>
        </w:rPr>
        <w:fldChar w:fldCharType="begin"/>
        <w:instrText xml:space="preserve">X {"Y":16}</w:instrText>
        <w:fldChar w:fldCharType="separate"/>
        <w:t xml:space="preserve">Uy-joy joylashgan manzil</w:t>
      </w:r>
      <w:r>
        <w:rPr>
          <w:vanish w:val="false"/>
          <w:sz w:val="24"/>
          <w:rFonts w:ascii="Times New Roman" w:hAnsi="Times New Roman"/>
        </w:rPr>
        <w:fldChar w:fldCharType="end"/>
      </w:r>
      <w:r>
        <w:rPr>
          <w:sz w:val="24"/>
          <w:rFonts w:ascii="Times New Roman" w:hAnsi="Times New Roman"/>
        </w:rPr>
        <w:t xml:space="preserve">da joylashgan uy joy </w:t>
      </w:r>
      <w:r>
        <w:rPr>
          <w:vanish w:val="false"/>
          <w:sz w:val="24"/>
          <w:rFonts w:ascii="Times New Roman" w:hAnsi="Times New Roman"/>
        </w:rPr>
        <w:fldChar w:fldCharType="begin"/>
        <w:instrText xml:space="preserve">X {"Y":17}</w:instrText>
        <w:fldChar w:fldCharType="separate"/>
        <w:t xml:space="preserve">Tomonlar yashab kelgan uyga nisbatan daʼvogarning mulk huquq vujudga kelishiga asos bo‘lgan hujjat sanasi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kungi </w:t>
      </w:r>
      <w:r>
        <w:rPr>
          <w:vanish w:val="false"/>
          <w:sz w:val="24"/>
          <w:rFonts w:ascii="Times New Roman" w:hAnsi="Times New Roman"/>
        </w:rPr>
        <w:fldChar w:fldCharType="begin"/>
        <w:instrText xml:space="preserve">X {"Y":21}</w:instrText>
        <w:fldChar w:fldCharType="separate"/>
        <w:t xml:space="preserve">Tomonlar yashab kelgan uyga nisbatan daʼvogarning mulk huquq vujudga kelishiga asos bo‘lgan hujjat nomi</w:t>
      </w:r>
      <w:r>
        <w:rPr>
          <w:vanish w:val="false"/>
          <w:sz w:val="24"/>
          <w:rFonts w:ascii="Times New Roman" w:hAnsi="Times New Roman"/>
        </w:rPr>
        <w:fldChar w:fldCharType="end"/>
      </w:r>
      <w:r>
        <w:rPr>
          <w:sz w:val="24"/>
          <w:rFonts w:ascii="Times New Roman" w:hAnsi="Times New Roman"/>
        </w:rPr>
        <w:t xml:space="preserve">ga asosan menga tegishli. Javobgar ushbu xonadonga kelin boʻlib tushib, oʻziga tegishli boʻlgan mol-mulklarini ushbu xonadonga olib kelgan. Keyinchalik oʻzaro kelishmovchilik sababli javobgar bilan ajrashishga qaror qildik. Fuqarolik ishlari boʻyicha </w:t>
      </w:r>
      <w:r>
        <w:rPr>
          <w:vanish w:val="false"/>
          <w:sz w:val="24"/>
          <w:rFonts w:ascii="Times New Roman" w:hAnsi="Times New Roman"/>
        </w:rPr>
        <w:fldChar w:fldCharType="begin"/>
        <w:instrText xml:space="preserve">X {"Y":18}</w:instrText>
        <w:fldChar w:fldCharType="separate"/>
        <w:t xml:space="preserve">Taraflarning nikohini bekor qilish to‘g‘risida hal qiluv qarori qabul qilgan sud nomi</w:t>
      </w:r>
      <w:r>
        <w:rPr>
          <w:vanish w:val="false"/>
          <w:sz w:val="24"/>
          <w:rFonts w:ascii="Times New Roman" w:hAnsi="Times New Roman"/>
        </w:rPr>
        <w:fldChar w:fldCharType="end"/>
      </w:r>
      <w:r>
        <w:rPr>
          <w:sz w:val="24"/>
          <w:rFonts w:ascii="Times New Roman" w:hAnsi="Times New Roman"/>
        </w:rPr>
        <w:t xml:space="preserve"> sudining </w:t>
      </w:r>
      <w:r>
        <w:rPr>
          <w:vanish w:val="false"/>
          <w:sz w:val="24"/>
          <w:rFonts w:ascii="Times New Roman" w:hAnsi="Times New Roman"/>
        </w:rPr>
        <w:fldChar w:fldCharType="begin"/>
        <w:instrText xml:space="preserve">X {"Y":19}</w:instrText>
        <w:fldChar w:fldCharType="separate"/>
        <w:t xml:space="preserve">Nikohni bekor qilish to‘g‘risida hal qiluv qarori qabul qilingan sana</w:t>
      </w:r>
      <w:r>
        <w:rPr>
          <w:vanish w:val="false"/>
          <w:sz w:val="24"/>
          <w:rFonts w:ascii="Times New Roman" w:hAnsi="Times New Roman"/>
        </w:rPr>
        <w:fldChar w:fldCharType="end"/>
      </w:r>
      <w:r>
        <w:rPr>
          <w:sz w:val="24"/>
          <w:rFonts w:ascii="Times New Roman" w:hAnsi="Times New Roman"/>
        </w:rPr>
        <w:t xml:space="preserve"> kungi hal qiluv qaroriga asosan oʻrtamizda tuzilgan nikox bekor qilingan. Javobgar  da uydan chiqib ketgan boʻlib, hozirda boshqa joyda yashaydi.  Javobgar uydan chiqib ketishidan oldin oʻziga tegishli boʻlgan narsalarni kelin boʻlib tushgan uyga qoʻyib, xonani quflab ketgan edi.</w:t>
      </w:r>
    </w:p>
    <w:p>
      <w:pPr>
        <w:jc w:val="both"/>
        <w:keepNext/>
        <w:keepLines/>
        <w:ind w:firstLine="709"/>
        <w:spacing w:after="0" w:line="276" w:lineRule="auto"/>
        <w:outlineLvl w:val="0"/>
        <w:rPr>
          <w:sz w:val="24"/>
          <w:rFonts w:ascii="Times New Roman" w:hAnsi="Times New Roman"/>
        </w:rPr>
      </w:pPr>
      <w:r>
        <w:rPr>
          <w:sz w:val="24"/>
          <w:rFonts w:ascii="Times New Roman" w:hAnsi="Times New Roman"/>
        </w:rPr>
        <w:t xml:space="preserve">Hozirgi kunda men boshqa ayol bilan oila qurmoqchiman. Ammo javobgar oʻziga tegishli boʻlgan narsalarni kelin boʻlib tushgan uyga qoʻyib ketgan. Men ikkinchi oilamni ushbu xonaga kelin qilib olib kelishim kerak, chunki ushbu xonadonda uchta xona mavjud. Shulardan ikkitasi foydalanishdagi xonalar boʻlsa, bitta xona yotoqxona hisoblanadi. Shuning uchun men ikkinchi oilamni uyga olib kela olmayapman.</w:t>
      </w:r>
    </w:p>
    <w:p>
      <w:pPr>
        <w:jc w:val="both"/>
        <w:keepNext/>
        <w:keepLines/>
        <w:ind w:firstLine="708"/>
        <w:spacing w:after="0" w:line="276" w:lineRule="auto"/>
        <w:outlineLvl w:val="0"/>
        <w:rPr>
          <w:sz w:val="24"/>
          <w:rFonts w:ascii="Times New Roman" w:hAnsi="Times New Roman"/>
        </w:rPr>
      </w:pPr>
      <w:r>
        <w:rPr>
          <w:sz w:val="24"/>
          <w:rFonts w:ascii="Times New Roman" w:hAnsi="Times New Roman"/>
        </w:rPr>
        <w:t xml:space="preserve">Oʻzbekiston Respublikasi Fuqarolik kodeksining 231-moddasiga koʻra, mulkdor oʻz huquqlarining har qanday buzilishini, garchi bu buzish egalik qilishdan mahrum etish bilan bogʻliq boʻlmasa ham, bartaraf etishni talab qilishi mumkin deb belgilangan.</w:t>
      </w:r>
    </w:p>
    <w:p>
      <w:pPr>
        <w:jc w:val="both"/>
        <w:ind w:firstLine="708"/>
        <w:spacing w:after="0" w:line="276" w:lineRule="auto"/>
        <w:rPr>
          <w:sz w:val="24"/>
          <w:rFonts w:ascii="Times New Roman" w:hAnsi="Times New Roman"/>
        </w:rPr>
      </w:pPr>
      <w:r>
        <w:rPr>
          <w:sz w:val="24"/>
          <w:rFonts w:ascii="Times New Roman" w:hAnsi="Times New Roman"/>
        </w:rPr>
        <w:t xml:space="preserve">Yuqordigalarga koʻra, Oʻzbekiston Respublikasi Fuqarolik kodeksining </w:t>
        <w:br/>
        <w:t xml:space="preserve">231-moddasi hamda Fuqarolik protsessual kodeksining 188, 189 va 191-moddalariga asosan,</w:t>
      </w:r>
    </w:p>
    <w:p>
      <w:pPr>
        <w:jc w:val="both"/>
        <w:ind w:firstLine="540"/>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SOʻRAYMAN:</w:t>
      </w:r>
    </w:p>
    <w:p>
      <w:pPr>
        <w:jc w:val="both"/>
        <w:ind w:firstLine="540"/>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r>
        <w:rPr>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zimasiga </w:t>
      </w:r>
      <w:r>
        <w:rPr>
          <w:vanish w:val="false"/>
          <w:sz w:val="24"/>
          <w:rFonts w:ascii="Times New Roman" w:hAnsi="Times New Roman"/>
        </w:rPr>
        <w:fldChar w:fldCharType="begin"/>
        <w:instrText xml:space="preserve">X {"Y":16}</w:instrText>
        <w:fldChar w:fldCharType="separate"/>
        <w:t xml:space="preserve">Uy-joy joylashgan manzil</w:t>
      </w:r>
      <w:r>
        <w:rPr>
          <w:vanish w:val="false"/>
          <w:sz w:val="24"/>
          <w:rFonts w:ascii="Times New Roman" w:hAnsi="Times New Roman"/>
        </w:rPr>
        <w:fldChar w:fldCharType="end"/>
      </w:r>
      <w:r>
        <w:rPr>
          <w:sz w:val="24"/>
          <w:rFonts w:ascii="Times New Roman" w:hAnsi="Times New Roman"/>
        </w:rPr>
        <w:t xml:space="preserve">da turgan mol-mulklarini olib ketish va menga tegishli boʻlgan mulkdan foydalanishimga toʻsqinlik qilmaslik majburiyatini yuklashingizni soʻrayman.</w:t>
      </w:r>
    </w:p>
    <w:p>
      <w:pPr>
        <w:jc w:val="both"/>
        <w:ind w:firstLine="709"/>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r>
        <w:rPr>
          <w:sz w:val="24"/>
          <w:rFonts w:ascii="Times New Roman" w:hAnsi="Times New Roman"/>
        </w:rPr>
        <w:t>Ilova:</w:t>
      </w:r>
    </w:p>
    <w:p>
      <w:pPr>
        <w:pStyle w:val="a8"/>
        <w:jc w:val="both"/>
        <w:ind w:left="0" w:firstLine="709"/>
        <w:spacing w:after="0" w:line="276" w:lineRule="auto"/>
        <w:rPr>
          <w:sz w:val="24"/>
          <w:rFonts w:ascii="Times New Roman" w:hAnsi="Times New Roman"/>
        </w:rPr>
      </w:pPr>
    </w:p>
    <w:p>
      <w:pPr>
        <w:pStyle w:val="a8"/>
        <w:jc w:val="both"/>
        <w:ind w:left="0" w:firstLine="709"/>
        <w:spacing w:after="0" w:line="276" w:lineRule="auto"/>
        <w:rPr>
          <w:sz w:val="24"/>
          <w:rFonts w:ascii="Times New Roman" w:hAnsi="Times New Roman"/>
        </w:rPr>
      </w:pPr>
      <w:r>
        <w:rPr>
          <w:sz w:val="24"/>
          <w:rFonts w:ascii="Times New Roman" w:hAnsi="Times New Roman"/>
        </w:rPr>
        <w:t xml:space="preserve">1. Daʼvo ariza nusxasi;</w:t>
      </w:r>
    </w:p>
    <w:p>
      <w:pPr>
        <w:jc w:val="both"/>
        <w:ind w:firstLine="709"/>
        <w:spacing w:after="0" w:line="276" w:lineRule="auto"/>
        <w:rPr>
          <w:sz w:val="24"/>
          <w:rFonts w:ascii="Times New Roman" w:hAnsi="Times New Roman"/>
        </w:rPr>
      </w:pPr>
      <w:r>
        <w:rPr>
          <w:sz w:val="24"/>
          <w:rFonts w:ascii="Times New Roman" w:hAnsi="Times New Roman"/>
        </w:rPr>
        <w:t xml:space="preserve">2. Davlat boji nusxasi;</w:t>
      </w:r>
    </w:p>
    <w:p>
      <w:pPr>
        <w:jc w:val="both"/>
        <w:ind w:firstLine="709"/>
        <w:spacing w:after="0" w:line="276" w:lineRule="auto"/>
        <w:rPr>
          <w:sz w:val="24"/>
          <w:rFonts w:ascii="Times New Roman" w:hAnsi="Times New Roman"/>
        </w:rPr>
      </w:pPr>
      <w:r>
        <w:rPr>
          <w:sz w:val="24"/>
          <w:rFonts w:ascii="Times New Roman" w:hAnsi="Times New Roman"/>
        </w:rPr>
        <w:t xml:space="preserve">3. Pasport nusxasi;</w:t>
      </w:r>
    </w:p>
    <w:p>
      <w:pPr>
        <w:jc w:val="both"/>
        <w:ind w:firstLine="709"/>
        <w:spacing w:after="0" w:line="276" w:lineRule="auto"/>
        <w:rPr>
          <w:sz w:val="24"/>
          <w:rFonts w:ascii="Times New Roman" w:hAnsi="Times New Roman"/>
        </w:rPr>
      </w:pPr>
      <w:r>
        <w:rPr>
          <w:sz w:val="24"/>
          <w:rFonts w:ascii="Times New Roman" w:hAnsi="Times New Roman"/>
        </w:rPr>
        <w:t xml:space="preserve">4. Uy-joy xujjatlari;</w:t>
      </w:r>
    </w:p>
    <w:p>
      <w:pPr>
        <w:jc w:val="both"/>
        <w:ind w:firstLine="709"/>
        <w:spacing w:after="0" w:line="276" w:lineRule="auto"/>
        <w:rPr>
          <w:sz w:val="24"/>
          <w:rFonts w:ascii="Times New Roman" w:hAnsi="Times New Roman"/>
        </w:rPr>
      </w:pPr>
      <w:r>
        <w:rPr>
          <w:sz w:val="24"/>
          <w:rFonts w:ascii="Times New Roman" w:hAnsi="Times New Roman"/>
        </w:rPr>
        <w:t xml:space="preserve">5. Daʼvo arizamni tasdiqlovchi boshqa hujjatlar.</w:t>
      </w:r>
    </w:p>
    <w:p>
      <w:pPr>
        <w:jc w:val="both"/>
        <w:ind w:firstLine="709"/>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p>
    <w:tbl>
      <w:tblPr>
        <w:tblW w:w="0" w:type="auto"/>
      </w:tblPr>
      <w:tblGrid>
        <w:gridCol w:w="4664"/>
        <w:gridCol w:w="4691"/>
      </w:tblGrid>
      <w:tr>
        <w:tc>
          <w:tcPr>
            <w:tcW w:w="4785" w:type="dxa"/>
            <w:shd w:fill="auto"/>
          </w:tcPr>
          <w:p>
            <w:pPr>
              <w:spacing w:after="0" w:line="276" w:lineRule="auto"/>
              <w:tabs>
                <w:tab w:val="left" w:pos="114"/>
              </w:tabs>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76" w:lineRule="auto"/>
              <w:rPr>
                <w:sz w:val="24"/>
                <w:rFonts w:ascii="Times New Roman" w:hAnsi="Times New Roman"/>
              </w:rPr>
            </w:pPr>
            <w:r>
              <w:rPr>
                <w:sz w:val="24"/>
                <w:rFonts w:ascii="Times New Roman" w:hAnsi="Times New Roman"/>
              </w:rPr>
              <w:t>_________________</w:t>
            </w:r>
          </w:p>
          <w:p>
            <w:pPr>
              <w:jc w:val="center"/>
              <w:spacing w:after="0" w:line="276" w:lineRule="auto"/>
              <w:rPr>
                <w:sz w:val="24"/>
                <w:rFonts w:ascii="Times New Roman" w:hAnsi="Times New Roman"/>
              </w:rPr>
            </w:pPr>
            <w:r>
              <w:rPr>
                <w:sz w:val="20"/>
                <w:rFonts w:ascii="Times New Roman" w:hAnsi="Times New Roman"/>
              </w:rPr>
              <w:t>(imzo)</w:t>
            </w:r>
          </w:p>
        </w:tc>
      </w:tr>
      <w:tr>
        <w:tc>
          <w:tcPr>
            <w:tcW w:w="9571" w:type="dxa"/>
            <w:gridSpan w:val="2"/>
            <w:shd w:fill="auto"/>
          </w:tcPr>
          <w:p>
            <w:pPr>
              <w:jc w:val="center"/>
              <w:spacing w:after="0" w:line="276" w:lineRule="auto"/>
              <w:rPr>
                <w:sz w:val="24"/>
                <w:rFonts w:ascii="Times New Roman" w:hAnsi="Times New Roman"/>
              </w:rPr>
            </w:pPr>
          </w:p>
          <w:p>
            <w:pPr>
              <w:jc w:val="center"/>
              <w:spacing w:after="0" w:line="276" w:lineRule="auto"/>
              <w:rPr>
                <w:sz w:val="24"/>
                <w:rFonts w:ascii="Times New Roman" w:hAnsi="Times New Roman"/>
              </w:rPr>
            </w:pPr>
          </w:p>
          <w:p>
            <w:pPr>
              <w:jc w:val="right"/>
              <w:ind w:hanging="21"/>
              <w:spacing w:after="0"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r>
              <w:rPr>
                <w:sz w:val="24"/>
                <w:rFonts w:ascii="Times New Roman" w:hAnsi="Times New Roman"/>
              </w:rPr>
              <w:t xml:space="preserve"> </w:t>
            </w:r>
          </w:p>
          <w:p>
            <w:pPr>
              <w:jc w:val="right"/>
              <w:ind w:firstLine="851"/>
              <w:spacing w:after="0" w:line="276" w:lineRule="auto"/>
              <w:rPr>
                <w:sz w:val="24"/>
                <w:rFonts w:ascii="Times New Roman" w:hAnsi="Times New Roman"/>
              </w:rPr>
            </w:pPr>
          </w:p>
        </w:tc>
      </w:tr>
    </w:tbl>
    <w:p>
      <w:pPr>
        <w:pStyle w:val="ConsPlusNonformat"/>
        <w:spacing w:line="276" w:lineRule="auto"/>
        <w:rPr>
          <w:b/>
          <w:sz w:val="24"/>
          <w:rFonts w:ascii="Times New Roman" w:hAnsi="Times New Roman"/>
        </w:rPr>
      </w:pPr>
    </w:p>
    <w:p>
      <w:pPr>
        <w:spacing w:after="0"/>
        <w:rPr>
          <w:b/>
          <w:sz w:val="24"/>
          <w:rFonts w:ascii="Times New Roman" w:hAnsi="Times New Roman"/>
        </w:rPr>
      </w:pPr>
    </w:p>
    <w:p>
      <w:pPr>
        <w:spacing w:after="0"/>
        <w:rPr>
          <w:b/>
          <w:sz w:val="24"/>
          <w:rFonts w:ascii="Times New Roman" w:hAnsi="Times New Roman"/>
        </w:rPr>
      </w:pPr>
    </w:p>
    <w:p>
      <w:pPr>
        <w:spacing w:after="0"/>
        <w:rPr>
          <w:b/>
          <w:sz w:val="24"/>
          <w:rFonts w:ascii="Times New Roman" w:hAnsi="Times New Roman"/>
        </w:rPr>
      </w:pPr>
    </w:p>
    <w:p>
      <w:pPr>
        <w:spacing w:after="0"/>
        <w:rPr>
          <w:b/>
          <w:sz w:val="24"/>
          <w:rFonts w:ascii="Times New Roman" w:hAnsi="Times New Roman"/>
        </w:rPr>
      </w:pPr>
    </w:p>
    <w:p>
      <w:pPr>
        <w:spacing w:after="0"/>
        <w:rPr>
          <w:b/>
          <w:sz w:val="24"/>
          <w:rFonts w:ascii="Times New Roman" w:hAnsi="Times New Roman"/>
        </w:rPr>
      </w:pPr>
    </w:p>
    <w:sectPr>
      <w:pgSz w:w="11906" w:h="16838"/>
      <w:pgMar w:left="1701" w:right="850" w:top="426"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A58" w:rsidRDefault="00725A58" w:rsidP="00C36551">
      <w:pPr>
        <w:spacing w:after="0" w:line="240" w:lineRule="auto"/>
      </w:pPr>
      <w:r>
        <w:separator/>
      </w:r>
    </w:p>
  </w:endnote>
  <w:endnote w:type="continuationSeparator" w:id="0">
    <w:p w:rsidR="00725A58" w:rsidRDefault="00725A58"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A58" w:rsidRDefault="00725A58" w:rsidP="00C36551">
      <w:pPr>
        <w:spacing w:after="0" w:line="240" w:lineRule="auto"/>
      </w:pPr>
      <w:r>
        <w:separator/>
      </w:r>
    </w:p>
  </w:footnote>
  <w:footnote w:type="continuationSeparator" w:id="0">
    <w:p w:rsidR="00725A58" w:rsidRDefault="00725A58"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3E30"/>
    <w:multiLevelType w:val="hybridMultilevel"/>
    <w:tmpl w:val="EE0E37F4"/>
    <w:lvl w:ilvl="0" w:tplc="D5C0E64E">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20786"/>
    <w:rsid w:val="0007683B"/>
    <w:rsid w:val="000914D5"/>
    <w:rsid w:val="000A402D"/>
    <w:rsid w:val="000F1A94"/>
    <w:rsid w:val="00181B1D"/>
    <w:rsid w:val="00195CD5"/>
    <w:rsid w:val="001A6F8D"/>
    <w:rsid w:val="001B08A7"/>
    <w:rsid w:val="001F231C"/>
    <w:rsid w:val="001F3620"/>
    <w:rsid w:val="00205470"/>
    <w:rsid w:val="00256B47"/>
    <w:rsid w:val="0028367F"/>
    <w:rsid w:val="0028638A"/>
    <w:rsid w:val="002C6DB6"/>
    <w:rsid w:val="002C6EFE"/>
    <w:rsid w:val="002D7553"/>
    <w:rsid w:val="00320622"/>
    <w:rsid w:val="003602D2"/>
    <w:rsid w:val="003B4D88"/>
    <w:rsid w:val="00405593"/>
    <w:rsid w:val="004C6A80"/>
    <w:rsid w:val="00515260"/>
    <w:rsid w:val="00523242"/>
    <w:rsid w:val="0052798A"/>
    <w:rsid w:val="005E6664"/>
    <w:rsid w:val="005F7C59"/>
    <w:rsid w:val="00635CAA"/>
    <w:rsid w:val="006B0638"/>
    <w:rsid w:val="006F0430"/>
    <w:rsid w:val="00701F89"/>
    <w:rsid w:val="00725A58"/>
    <w:rsid w:val="00770AB9"/>
    <w:rsid w:val="007866AD"/>
    <w:rsid w:val="007951AC"/>
    <w:rsid w:val="007C423D"/>
    <w:rsid w:val="00802A38"/>
    <w:rsid w:val="00804EA4"/>
    <w:rsid w:val="0081662C"/>
    <w:rsid w:val="00826E96"/>
    <w:rsid w:val="00830A34"/>
    <w:rsid w:val="00860964"/>
    <w:rsid w:val="008C360D"/>
    <w:rsid w:val="008E7D48"/>
    <w:rsid w:val="008F3A14"/>
    <w:rsid w:val="00923424"/>
    <w:rsid w:val="00932BFF"/>
    <w:rsid w:val="00961832"/>
    <w:rsid w:val="009B2A44"/>
    <w:rsid w:val="009B7B4E"/>
    <w:rsid w:val="00A62436"/>
    <w:rsid w:val="00A96809"/>
    <w:rsid w:val="00A969BC"/>
    <w:rsid w:val="00B53775"/>
    <w:rsid w:val="00B64BD0"/>
    <w:rsid w:val="00B81108"/>
    <w:rsid w:val="00B859BA"/>
    <w:rsid w:val="00BE537E"/>
    <w:rsid w:val="00BF6AAE"/>
    <w:rsid w:val="00C362CB"/>
    <w:rsid w:val="00C36551"/>
    <w:rsid w:val="00C607F2"/>
    <w:rsid w:val="00C73C91"/>
    <w:rsid w:val="00CD39EF"/>
    <w:rsid w:val="00CF2945"/>
    <w:rsid w:val="00D0170B"/>
    <w:rsid w:val="00D1110D"/>
    <w:rsid w:val="00D62602"/>
    <w:rsid w:val="00D80B1B"/>
    <w:rsid w:val="00D876AD"/>
    <w:rsid w:val="00E22A9B"/>
    <w:rsid w:val="00E33A6B"/>
    <w:rsid w:val="00E54C07"/>
    <w:rsid w:val="00E622D5"/>
    <w:rsid w:val="00E8524F"/>
    <w:rsid w:val="00EA3527"/>
    <w:rsid w:val="00EA4ED9"/>
    <w:rsid w:val="00EC6CE5"/>
    <w:rsid w:val="00ED7C7F"/>
    <w:rsid w:val="00F86B02"/>
    <w:rsid w:val="00FA2163"/>
    <w:rsid w:val="00FE3B74"/>
    <w:rsid w:val="00FE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AC30D-681D-4FAC-8BE5-D60616A3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rsid w:val="000F1A9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2022-09-13T07:09:00Z</dcterms:created>
  <dcterms:modified xsi:type="dcterms:W3CDTF">2022-09-13T07:09:00Z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Viloyat, tuman (shahar), mahalla, ko‘cha nomi va uy raqami yoziladi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Izoh: Viloyat, tuman (shahar), mahalla, ko‘cha nomi va uy raqami yoziladi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date" w:valueMode="normal" w:required="false" w:groupID="14">
    <w:identifier xml:space="preserve">ID15</w:identifier>
    <w:name xml:space="preserve">Daʼvogar bilan javobgar turmush qurgan sana</w:name>
    <w:value w:hidden="false">
      <w:unit w:active="false"/>
    </w:value>
  </w:element>
  <w:element w:id="16" w:kind="variable" w:selector="check" w:type="string" w:valueMode="normal" w:required="false" w:groupID="14">
    <w:identifier xml:space="preserve">ID16</w:identifier>
    <w:name xml:space="preserve">Uy-joy joylashgan manzil</w:name>
    <w:comment xml:space="preserve">Viloyat, tuman, shahar, ko‘cha nomi, uy, xonadon raqamlari to‘liq ko‘rsatiladi</w:comment>
    <w:value w:hidden="false">
      <w:unit w:active="false"/>
    </w:value>
  </w:element>
  <w:element w:id="21" w:kind="variable" w:selector="check" w:type="string" w:valueMode="normal" w:required="false" w:groupID="14">
    <w:identifier xml:space="preserve">ID21</w:identifier>
    <w:name xml:space="preserve">Tomonlar yashab kelgan uyga nisbatan daʼvogarning mulk huquq vujudga kelishiga asos bo‘lgan hujjat nomi</w:name>
    <w:comment xml:space="preserve">Masalan: Oldi-sotdi shartnomasi, meros guvohnomasi yoki boshqa</w:comment>
    <w:value w:hidden="false">
      <w:unit w:active="false"/>
    </w:value>
  </w:element>
  <w:element w:id="17" w:kind="variable" w:selector="check" w:type="date" w:valueMode="normal" w:required="false" w:groupID="14">
    <w:identifier xml:space="preserve">ID17</w:identifier>
    <w:name xml:space="preserve">Tomonlar yashab kelgan uyga nisbatan daʼvogarning mulk huquq vujudga kelishiga asos bo‘lgan hujjat sanasi</w:name>
    <w:value w:hidden="false">
      <w:unit w:active="false"/>
    </w:value>
  </w:element>
  <w:element w:id="18" w:kind="variable" w:selector="check" w:type="string" w:valueMode="normal" w:required="false" w:groupID="14">
    <w:identifier xml:space="preserve">ID18</w:identifier>
    <w:name xml:space="preserve">Taraflarning nikohini bekor qilish to‘g‘risida hal qiluv qarori qabul qilgan sud nomi</w:name>
    <w:comment xml:space="preserve">Tuman (shahar) nomi ko‘rsatiladi</w:comment>
    <w:value w:hidden="false">
      <w:unit w:active="false"/>
    </w:value>
  </w:element>
  <w:element w:id="19" w:kind="variable" w:selector="check" w:type="date" w:valueMode="normal" w:required="false" w:groupID="14">
    <w:identifier xml:space="preserve">ID19</w:identifier>
    <w:name xml:space="preserve">Nikohni bekor qilish to‘g‘risida hal qiluv qarori qabul qilingan sana</w:name>
    <w:value w:hidden="false">
      <w:unit w:active="false"/>
    </w:value>
  </w:element>
</w:structure>
</file>