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3654" w:type="dxa"/>
      </w:tblPr>
      <w:tblGrid>
        <w:gridCol w:w="5701"/>
      </w:tblGrid>
      <w:tr>
        <w:tc>
          <w:tcPr>
            <w:tcW w:w="5706" w:type="dxa"/>
            <w:shd w:fill="auto"/>
          </w:tcPr>
          <w:p>
            <w:pPr>
              <w:jc w:val="right"/>
              <w:ind w:left="993"/>
              <w:spacing w:after="0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boʻyicha </w:t>
            </w:r>
          </w:p>
          <w:p>
            <w:pPr>
              <w:jc w:val="right"/>
              <w:ind w:left="993"/>
              <w:spacing w:after="0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Daʼvo ariza berilgan fuqarolik ishlari bo‘yicha sud nomi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</w:tc>
      </w:tr>
      <w:tr>
        <w:tc>
          <w:tcPr>
            <w:tcW w:w="5706" w:type="dxa"/>
            <w:shd w:fill="auto"/>
          </w:tcPr>
          <w:p>
            <w:pPr>
              <w:jc w:val="right"/>
              <w:ind w:left="993"/>
              <w:spacing w:after="0"/>
              <w:rPr>
                <w:sz w:val="24"/>
                <w:rFonts w:ascii="Times New Roman" w:hAnsi="Times New Roman"/>
              </w:rPr>
            </w:pPr>
          </w:p>
        </w:tc>
      </w:tr>
      <w:tr>
        <w:tc>
          <w:tcPr>
            <w:tcW w:w="5706" w:type="dxa"/>
            <w:shd w:fill="auto"/>
          </w:tcPr>
          <w:p>
            <w:pPr>
              <w:jc w:val="right"/>
              <w:ind w:left="993"/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Daʼvogar:</w:t>
            </w:r>
            <w:r>
              <w:rPr>
                <w:sz w:val="24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Daʼvogarning F.I.O.si</w:t>
              <w:fldChar w:fldCharType="end"/>
            </w:r>
          </w:p>
        </w:tc>
      </w:tr>
      <w:tr>
        <w:tc>
          <w:tcPr>
            <w:tcW w:w="5706" w:type="dxa"/>
            <w:shd w:fill="auto"/>
          </w:tcPr>
          <w:p>
            <w:pPr>
              <w:jc w:val="right"/>
              <w:ind w:left="993"/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Daʼvogarning yashash manzili</w:t>
              <w:fldChar w:fldCharType="end"/>
            </w:r>
          </w:p>
        </w:tc>
      </w:tr>
      <w:tr>
        <w:tc>
          <w:tcPr>
            <w:tcW w:w="5706" w:type="dxa"/>
            <w:shd w:fill="auto"/>
          </w:tcPr>
          <w:p>
            <w:pPr>
              <w:jc w:val="right"/>
              <w:ind w:left="993"/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Daʼvogarning telefon raqamlari</w:t>
              <w:fldChar w:fldCharType="end"/>
            </w:r>
          </w:p>
          <w:p>
            <w:pPr>
              <w:jc w:val="right"/>
              <w:ind w:left="993"/>
              <w:spacing w:after="0"/>
              <w:rPr>
                <w:i/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Pochta: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Daʼvogarning pochta (elektron) manzili</w:t>
              <w:fldChar w:fldCharType="end"/>
            </w:r>
          </w:p>
        </w:tc>
      </w:tr>
      <w:tr>
        <w:tc>
          <w:tcPr>
            <w:tcW w:w="5706" w:type="dxa"/>
            <w:shd w:fill="auto"/>
          </w:tcPr>
          <w:p>
            <w:pPr>
              <w:jc w:val="right"/>
              <w:ind w:left="993"/>
              <w:spacing w:after="0"/>
              <w:rPr>
                <w:b/>
                <w:sz w:val="24"/>
                <w:rFonts w:ascii="Times New Roman" w:hAnsi="Times New Roman"/>
              </w:rPr>
            </w:pPr>
          </w:p>
        </w:tc>
      </w:tr>
      <w:tr>
        <w:tc>
          <w:tcPr>
            <w:tcW w:w="5706" w:type="dxa"/>
            <w:shd w:fill="auto"/>
          </w:tcPr>
          <w:p>
            <w:pPr>
              <w:jc w:val="right"/>
              <w:ind w:left="993"/>
              <w:spacing w:after="0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Javobgar: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Javobgarning F.I.O.si</w:t>
              <w:fldChar w:fldCharType="end"/>
            </w:r>
          </w:p>
        </w:tc>
      </w:tr>
      <w:tr>
        <w:tc>
          <w:tcPr>
            <w:tcW w:w="5706" w:type="dxa"/>
            <w:shd w:fill="auto"/>
          </w:tcPr>
          <w:p>
            <w:pPr>
              <w:jc w:val="right"/>
              <w:ind w:left="993"/>
              <w:spacing w:after="0"/>
              <w:rPr>
                <w:i/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Javobgarning yashash manzili</w:t>
              <w:fldChar w:fldCharType="end"/>
            </w:r>
          </w:p>
        </w:tc>
      </w:tr>
      <w:tr>
        <w:tc>
          <w:tcPr>
            <w:tcW w:w="5706" w:type="dxa"/>
            <w:shd w:fill="auto"/>
          </w:tcPr>
          <w:p>
            <w:pPr>
              <w:jc w:val="right"/>
              <w:ind w:left="993"/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Javobgarning telefon raqamlari</w:t>
              <w:fldChar w:fldCharType="end"/>
            </w:r>
          </w:p>
        </w:tc>
      </w:tr>
    </w:tbl>
    <w:p>
      <w:pPr>
        <w:jc w:val="right"/>
        <w:ind w:left="4659" w:hanging="3666"/>
        <w:spacing w:after="0"/>
        <w:rPr>
          <w:i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                                                             Pochta: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Javobgarning pochta (elektron) manzili</w:t>
        <w:fldChar w:fldCharType="end"/>
      </w:r>
    </w:p>
    <w:p>
      <w:pPr>
        <w:pStyle w:val="ConsPlusNonformat"/>
        <w:jc w:val="center"/>
        <w:spacing w:line="276" w:lineRule="auto"/>
        <w:rPr>
          <w:sz w:val="24"/>
          <w:rFonts w:ascii="Times New Roman" w:hAnsi="Times New Roman"/>
        </w:rPr>
      </w:pPr>
    </w:p>
    <w:p>
      <w:pPr>
        <w:pStyle w:val="ConsPlusNonformat"/>
        <w:jc w:val="center"/>
        <w:spacing w:line="276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DAʼVO ARIZA</w:t>
      </w:r>
    </w:p>
    <w:p>
      <w:pPr>
        <w:pStyle w:val="ConsPlusNonformat"/>
        <w:jc w:val="center"/>
        <w:spacing w:line="276" w:lineRule="auto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(Mol-mulkni boʻlish haqida)</w:t>
      </w:r>
    </w:p>
    <w:p>
      <w:pPr>
        <w:pStyle w:val="ConsPlusNonformat"/>
        <w:jc w:val="center"/>
        <w:spacing w:line="276" w:lineRule="auto"/>
        <w:rPr>
          <w:sz w:val="24"/>
          <w:rFonts w:ascii="Times New Roman" w:hAnsi="Times New Roman"/>
        </w:rPr>
      </w:pPr>
    </w:p>
    <w:p>
      <w:pPr>
        <w:pStyle w:val="ConsPlusNonformat"/>
        <w:jc w:val="both"/>
        <w:ind w:firstLine="709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 va javobgar oʻrtamizdagi qonuniy nikoh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Nikohni qayd etgan FHDYO bo‘limi nomi</w:t>
        <w:fldChar w:fldCharType="end"/>
      </w:r>
      <w:r>
        <w:rPr>
          <w:sz w:val="24"/>
          <w:rFonts w:ascii="Times New Roman" w:hAnsi="Times New Roman"/>
        </w:rPr>
        <w:t xml:space="preserve">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Nikoh qayd etilgan sana</w:t>
        <w:fldChar w:fldCharType="end"/>
      </w:r>
      <w:r>
        <w:rPr>
          <w:sz w:val="24"/>
          <w:rFonts w:ascii="Times New Roman" w:hAnsi="Times New Roman"/>
        </w:rPr>
        <w:t xml:space="preserve"> kuni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Dalolatnoma yozuvi raqami ko‘rsatiladi</w:t>
        <w:fldChar w:fldCharType="end"/>
      </w:r>
      <w:r>
        <w:rPr>
          <w:sz w:val="24"/>
          <w:rFonts w:ascii="Times New Roman" w:hAnsi="Times New Roman"/>
        </w:rPr>
        <w:t xml:space="preserve">-raqami bilan qayd etilgan. </w:t>
      </w:r>
    </w:p>
    <w:p>
      <w:pPr>
        <w:pStyle w:val="ConsPlusNonformat"/>
        <w:jc w:val="both"/>
        <w:ind w:firstLine="709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Oʻrtamizda nikoh shartnomasi tuzilmagan. Javobgar bilan oilaviy hayotimiz davomida quyidagi mol-mulklarni sotib olganmiz: </w:t>
      </w:r>
    </w:p>
    <w:p>
      <w:pPr>
        <w:pStyle w:val="ConsPlusNonformat"/>
        <w:jc w:val="both"/>
        <w:ind w:firstLine="684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Bo‘linishi so‘ralayotgan umumiy mol-mulklar</w:t>
        <w:fldChar w:fldCharType="end"/>
      </w:r>
      <w:r>
        <w:rPr>
          <w:sz w:val="24"/>
          <w:rFonts w:ascii="Times New Roman" w:hAnsi="Times New Roman"/>
        </w:rPr>
        <w:t xml:space="preserve"> </w:t>
      </w:r>
    </w:p>
    <w:p>
      <w:pPr>
        <w:pStyle w:val="ConsPlusNonformat"/>
        <w:jc w:val="both"/>
        <w:ind w:firstLine="709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Oʻzbekiston Respublikasi Oila kodeksining 23-moddasiga asosan er va xotinning nikoh davomida orttirgan mol-mulklari, shuningdek nikoh qayd etilgunga qadar, boʻlajak er-xotinning umumiy mablagʻlari hisobiga olingan mol-mulklari, agar qonun yoki nikoh shartnomasida boshqacha hol koʻrsatilmagan boʻlsa, ularning birgalikdagi umumiy mulki hisoblanadi.</w:t>
      </w:r>
    </w:p>
    <w:p>
      <w:pPr>
        <w:jc w:val="both"/>
        <w:ind w:firstLine="705"/>
        <w:spacing w:after="0"/>
      </w:pPr>
      <w:r>
        <w:rPr>
          <w:sz w:val="24"/>
          <w:rFonts w:ascii="Times New Roman" w:hAnsi="Times New Roman"/>
        </w:rPr>
        <w:t xml:space="preserve">Er va xotindan biri uy-roʻzgʻor ishlarini yuritish, bolalarni parvarish qilish bilan band boʻlgan yoki boshqa uzrli sabablarga koʻra mustaqil ish haqi va boshqa daromadga ega boʻlmagan taqdirda ham er va xotin umumiy mol-mulkka nisbatan teng huquqga ega boʻladi. </w:t>
      </w:r>
    </w:p>
    <w:p>
      <w:pPr>
        <w:jc w:val="both"/>
        <w:ind w:left="-15" w:firstLine="724"/>
        <w:spacing w:after="0"/>
      </w:pPr>
      <w:r>
        <w:rPr>
          <w:sz w:val="24"/>
        </w:rPr>
        <w:t xml:space="preserve">Er va xotinning umumiy mol-mulkini boʻlish er va xotindan birining talabiga koʻra, ular nikohda boʻlgan davrda ham, nikohdan ajralishgandan keyin ham, shuningdek kreditor er va xotindan birining umumiy mol-mulkdagi ulushiga undiruvni qaratish uchun umumiy mol-mulkni boʻlish talabi bilan arz qilgan hollarda amalga oshirilishi mumkin.</w:t>
      </w:r>
    </w:p>
    <w:p>
      <w:pPr>
        <w:jc w:val="both"/>
        <w:ind w:left="-15" w:firstLine="724"/>
        <w:spacing w:after="0"/>
      </w:pPr>
      <w:r>
        <w:rPr>
          <w:sz w:val="24"/>
        </w:rPr>
        <w:t xml:space="preserve">Er va xotinning umumiy mol-mulki er va xotin oʻrtasida oʻzaro kelishuv asosida boʻlib olinishi mumkin. Er va xotinning xohishi bilan ularning umumiy mol-mulkni boʻlish toʻgʻrisidagi oʻzaro kelishuvi notarial tartibda tasdiqlanishi mumkin.</w:t>
      </w:r>
    </w:p>
    <w:p>
      <w:pPr>
        <w:ind w:left="-21" w:firstLine="730"/>
        <w:spacing w:after="0"/>
      </w:pPr>
      <w:r>
        <w:rPr>
          <w:sz w:val="24"/>
        </w:rPr>
        <w:t xml:space="preserve">Nizo tugʻilgan hollarda er va xotinning umumiy mol-mulkini boʻlish, shuningdek er va xotinning bu mol-mulkdagi ulushini aniqlash sud tartibida amalga oshiriladi.</w:t>
      </w:r>
    </w:p>
    <w:p>
      <w:pPr>
        <w:jc w:val="both"/>
        <w:ind w:left="-21" w:firstLine="730"/>
        <w:spacing w:after="0"/>
      </w:pPr>
      <w:r>
        <w:rPr>
          <w:sz w:val="24"/>
        </w:rPr>
        <w:t xml:space="preserve">Umumiy mol-mulkni boʻlishda sud er va xotinning har biriga mulkning qaysi qismi berilishi lozimligini aniqlaydi. Er (xotin)ga unga qarashli ulushdan oshiq qiymatga ega boʻlgan mol-mulk beriladigan hollarda, xotin (er)ga tegishli pul yoki oʻzga kompensatsiya belgilanishi mumkin.</w:t>
      </w:r>
    </w:p>
    <w:p>
      <w:pPr>
        <w:jc w:val="both"/>
        <w:ind w:left="-21" w:firstLine="730"/>
        <w:spacing w:after="0"/>
      </w:pPr>
      <w:r>
        <w:rPr>
          <w:sz w:val="24"/>
          <w:rFonts w:ascii="Times New Roman" w:hAnsi="Times New Roman"/>
        </w:rPr>
        <w:t xml:space="preserve">Javobgar bilan birgalikdagi mulkni boʻlish haqida kelishuv mavjud emas.</w:t>
      </w:r>
    </w:p>
    <w:p>
      <w:pPr>
        <w:jc w:val="both"/>
        <w:ind w:left="-21" w:firstLine="730"/>
      </w:pPr>
      <w:r>
        <w:rPr>
          <w:sz w:val="24"/>
          <w:rFonts w:ascii="Times New Roman" w:hAnsi="Times New Roman"/>
        </w:rPr>
        <w:t xml:space="preserve">Yuqoridagilarga koʻra hamda Oʻzbekiston Respublikasi Oila kodeksining </w:t>
        <w:br/>
        <w:t xml:space="preserve">23-moddasiga asosan</w:t>
      </w:r>
    </w:p>
    <w:p>
      <w:pPr>
        <w:pStyle w:val="ConsPlusNonformat"/>
        <w:jc w:val="center"/>
        <w:spacing w:line="276" w:lineRule="auto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>
      <w:pPr>
        <w:pStyle w:val="ConsPlusNonformat"/>
        <w:jc w:val="center"/>
        <w:spacing w:line="276" w:lineRule="auto"/>
        <w:rPr>
          <w:sz w:val="24"/>
          <w:rFonts w:ascii="Times New Roman" w:hAnsi="Times New Roman"/>
        </w:rPr>
      </w:pPr>
    </w:p>
    <w:p>
      <w:pPr>
        <w:pStyle w:val="ConsPlusNonformat"/>
        <w:jc w:val="both"/>
        <w:ind w:firstLine="709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1. Men va javobgar oʻrtamizdagi umumiy mol-mulklarimiz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Bo‘linishi so‘ralayotgan umumiy mol-mulklar</w:t>
        <w:fldChar w:fldCharType="end"/>
      </w:r>
      <w:r>
        <w:rPr>
          <w:sz w:val="24"/>
          <w:rFonts w:ascii="Times New Roman" w:hAnsi="Times New Roman"/>
        </w:rPr>
        <w:t xml:space="preserve">ni boʻlishingizni.</w:t>
      </w:r>
    </w:p>
    <w:p>
      <w:pPr>
        <w:pStyle w:val="ConsPlusNonformat"/>
        <w:jc w:val="both"/>
        <w:spacing w:line="276" w:lineRule="auto"/>
        <w:rPr>
          <w:sz w:val="24"/>
          <w:rFonts w:ascii="Times New Roman" w:hAnsi="Times New Roman"/>
        </w:rPr>
      </w:pPr>
    </w:p>
    <w:p>
      <w:pPr>
        <w:pStyle w:val="ConsPlusNonformat"/>
        <w:jc w:val="both"/>
        <w:ind w:firstLine="709"/>
        <w:spacing w:line="276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Ilova qilinadigan hujjatlar:</w:t>
      </w:r>
    </w:p>
    <w:p>
      <w:pPr>
        <w:pStyle w:val="ConsPlusNonformat"/>
        <w:jc w:val="both"/>
        <w:ind w:firstLine="705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1. Daʼvo ariza nusxasi;</w:t>
      </w:r>
    </w:p>
    <w:p>
      <w:pPr>
        <w:pStyle w:val="ConsPlusNonformat"/>
        <w:jc w:val="both"/>
        <w:ind w:firstLine="705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2. Nikoh qayd etilganligi haqida guvohnoma;</w:t>
      </w:r>
    </w:p>
    <w:p>
      <w:pPr>
        <w:pStyle w:val="ConsPlusNonformat"/>
        <w:jc w:val="both"/>
        <w:ind w:firstLine="705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3. Davlat boji toʻlanganligini tasdiqlovchi xujjat;</w:t>
      </w:r>
    </w:p>
    <w:p>
      <w:pPr>
        <w:pStyle w:val="ConsPlusNonformat"/>
        <w:jc w:val="both"/>
        <w:ind w:firstLine="705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4. Mol-mulkka mulk huquqini tasdiqlovchi xujjat nusxasi;</w:t>
      </w:r>
    </w:p>
    <w:p>
      <w:pPr>
        <w:pStyle w:val="ConsPlusNonformat"/>
        <w:jc w:val="both"/>
        <w:ind w:firstLine="705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5.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 arizaga ilova qilinayotgan boshqa hujjatlar ro‘yxati</w:t>
        <w:fldChar w:fldCharType="end"/>
      </w:r>
    </w:p>
    <w:p>
      <w:pPr>
        <w:pStyle w:val="ConsPlusNonformat"/>
        <w:jc w:val="both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4671"/>
        <w:gridCol w:w="4684"/>
      </w:tblGrid>
      <w:tr>
        <w:tc>
          <w:tcPr>
            <w:tcW w:w="4785" w:type="dxa"/>
            <w:shd w:fill="auto"/>
          </w:tcPr>
          <w:p>
            <w:pPr>
              <w:jc w:val="center"/>
              <w:spacing w:after="0" w:line="240" w:lineRule="auto"/>
              <w:rPr>
                <w:sz w:val="24"/>
                <w:rFonts w:ascii="Times New Roman" w:hAnsi="Times New Roman"/>
              </w:rPr>
            </w:pPr>
          </w:p>
          <w:p>
            <w:pPr>
              <w:jc w:val="center"/>
              <w:spacing w:after="0" w:line="240" w:lineRule="auto"/>
              <w:rPr>
                <w:sz w:val="24"/>
                <w:rFonts w:ascii="Times New Roman" w:hAnsi="Times New Roman"/>
              </w:rPr>
            </w:pPr>
          </w:p>
          <w:p>
            <w:pPr>
              <w:jc w:val="center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Daʼvogarning F.I.O.si</w:t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         </w:t>
            </w:r>
          </w:p>
        </w:tc>
        <w:tc>
          <w:tcPr>
            <w:tcW w:w="4786" w:type="dxa"/>
            <w:shd w:fill="auto"/>
          </w:tcPr>
          <w:p>
            <w:pPr>
              <w:jc w:val="center"/>
              <w:spacing w:after="0" w:line="240" w:lineRule="auto"/>
              <w:rPr>
                <w:sz w:val="24"/>
                <w:rFonts w:ascii="Times New Roman" w:hAnsi="Times New Roman"/>
              </w:rPr>
            </w:pPr>
          </w:p>
          <w:p>
            <w:pPr>
              <w:jc w:val="center"/>
              <w:spacing w:after="0" w:line="240" w:lineRule="auto"/>
              <w:rPr>
                <w:sz w:val="24"/>
                <w:rFonts w:ascii="Times New Roman" w:hAnsi="Times New Roman"/>
              </w:rPr>
            </w:pPr>
          </w:p>
          <w:p>
            <w:pPr>
              <w:jc w:val="center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______________</w:t>
            </w:r>
          </w:p>
          <w:p>
            <w:pPr>
              <w:jc w:val="center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sz w:val="20"/>
                <w:rFonts w:ascii="Times New Roman" w:hAnsi="Times New Roman"/>
              </w:rPr>
              <w:t>(Imzo)</w:t>
            </w:r>
          </w:p>
          <w:p>
            <w:pPr>
              <w:jc w:val="center"/>
              <w:spacing w:after="0" w:line="240" w:lineRule="auto"/>
              <w:rPr>
                <w:sz w:val="24"/>
                <w:rFonts w:ascii="Times New Roman" w:hAnsi="Times New Roman"/>
              </w:rPr>
            </w:pPr>
          </w:p>
        </w:tc>
      </w:tr>
      <w:tr>
        <w:tc>
          <w:tcPr>
            <w:tcW w:w="9571" w:type="dxa"/>
            <w:gridSpan w:val="2"/>
            <w:shd w:fill="auto"/>
          </w:tcPr>
          <w:p>
            <w:pPr>
              <w:jc w:val="center"/>
              <w:spacing w:after="0" w:line="240" w:lineRule="auto"/>
              <w:rPr>
                <w:sz w:val="24"/>
                <w:rFonts w:ascii="Times New Roman" w:hAnsi="Times New Roman"/>
              </w:rPr>
            </w:pPr>
          </w:p>
          <w:p>
            <w:pPr>
              <w:ind w:hanging="21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Daʼvo ariza berilgan sana</w:t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</w:t>
            </w:r>
          </w:p>
          <w:p>
            <w:pPr>
              <w:jc w:val="center"/>
              <w:ind w:firstLine="851"/>
              <w:spacing w:after="0" w:line="240" w:lineRule="auto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pStyle w:val="ConsPlusNonformat"/>
        <w:jc w:val="center"/>
        <w:rPr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736" w:rsidRDefault="00E07736">
      <w:r>
        <w:separator/>
      </w:r>
    </w:p>
  </w:endnote>
  <w:endnote w:type="continuationSeparator" w:id="0">
    <w:p w:rsidR="00E07736" w:rsidRDefault="00E07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736" w:rsidRDefault="00E07736">
      <w:r>
        <w:separator/>
      </w:r>
    </w:p>
  </w:footnote>
  <w:footnote w:type="continuationSeparator" w:id="0">
    <w:p w:rsidR="00E07736" w:rsidRDefault="00E077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03A14"/>
    <w:multiLevelType w:val="hybridMultilevel"/>
    <w:tmpl w:val="DEF4EF52"/>
    <w:lvl w:ilvl="0" w:tplc="9CC01E0A">
      <w:start w:val="1"/>
      <w:numFmt w:val="decimal"/>
      <w:lvlText w:val="%1"/>
      <w:lvlJc w:val="left"/>
      <w:pPr>
        <w:ind w:left="1065" w:hanging="705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05F"/>
    <w:rsid w:val="00014439"/>
    <w:rsid w:val="00042A12"/>
    <w:rsid w:val="000663E3"/>
    <w:rsid w:val="00080DE0"/>
    <w:rsid w:val="00117F81"/>
    <w:rsid w:val="00150E7B"/>
    <w:rsid w:val="00184E7C"/>
    <w:rsid w:val="001F0060"/>
    <w:rsid w:val="00203846"/>
    <w:rsid w:val="00221DA1"/>
    <w:rsid w:val="00230E31"/>
    <w:rsid w:val="00235B3D"/>
    <w:rsid w:val="00261CC6"/>
    <w:rsid w:val="002620E9"/>
    <w:rsid w:val="00292FA1"/>
    <w:rsid w:val="00297F23"/>
    <w:rsid w:val="00312F66"/>
    <w:rsid w:val="00323630"/>
    <w:rsid w:val="00333B85"/>
    <w:rsid w:val="0036184B"/>
    <w:rsid w:val="00366405"/>
    <w:rsid w:val="00391B6F"/>
    <w:rsid w:val="00396C6A"/>
    <w:rsid w:val="003A7979"/>
    <w:rsid w:val="003B5F19"/>
    <w:rsid w:val="003D1AAE"/>
    <w:rsid w:val="003E61C0"/>
    <w:rsid w:val="00422CE7"/>
    <w:rsid w:val="00431D54"/>
    <w:rsid w:val="004A2397"/>
    <w:rsid w:val="004F7EFB"/>
    <w:rsid w:val="00532436"/>
    <w:rsid w:val="00573BAF"/>
    <w:rsid w:val="005A6BE8"/>
    <w:rsid w:val="005D1CA9"/>
    <w:rsid w:val="00600CBB"/>
    <w:rsid w:val="00610C32"/>
    <w:rsid w:val="00637E47"/>
    <w:rsid w:val="0065713D"/>
    <w:rsid w:val="006B3188"/>
    <w:rsid w:val="006C3BF5"/>
    <w:rsid w:val="006D55B1"/>
    <w:rsid w:val="006E7512"/>
    <w:rsid w:val="006F7FFE"/>
    <w:rsid w:val="0070336D"/>
    <w:rsid w:val="00733DC8"/>
    <w:rsid w:val="00777EBE"/>
    <w:rsid w:val="00796019"/>
    <w:rsid w:val="007C2F0C"/>
    <w:rsid w:val="008120D2"/>
    <w:rsid w:val="0084495C"/>
    <w:rsid w:val="00844F31"/>
    <w:rsid w:val="0084772F"/>
    <w:rsid w:val="00862287"/>
    <w:rsid w:val="00923090"/>
    <w:rsid w:val="0093134E"/>
    <w:rsid w:val="00940E8A"/>
    <w:rsid w:val="00963332"/>
    <w:rsid w:val="0099045A"/>
    <w:rsid w:val="009A7789"/>
    <w:rsid w:val="009B46C4"/>
    <w:rsid w:val="009C5CD4"/>
    <w:rsid w:val="00A460F5"/>
    <w:rsid w:val="00A5041C"/>
    <w:rsid w:val="00A53682"/>
    <w:rsid w:val="00A72F4A"/>
    <w:rsid w:val="00A95358"/>
    <w:rsid w:val="00AC4AEF"/>
    <w:rsid w:val="00AD7E23"/>
    <w:rsid w:val="00AF3467"/>
    <w:rsid w:val="00BA2D23"/>
    <w:rsid w:val="00BB0458"/>
    <w:rsid w:val="00D0122C"/>
    <w:rsid w:val="00D052DC"/>
    <w:rsid w:val="00D24085"/>
    <w:rsid w:val="00D3224D"/>
    <w:rsid w:val="00D70EEC"/>
    <w:rsid w:val="00D8066F"/>
    <w:rsid w:val="00D9513B"/>
    <w:rsid w:val="00DB31D8"/>
    <w:rsid w:val="00DC3380"/>
    <w:rsid w:val="00DD1389"/>
    <w:rsid w:val="00DF19FC"/>
    <w:rsid w:val="00E037C6"/>
    <w:rsid w:val="00E0405F"/>
    <w:rsid w:val="00E07736"/>
    <w:rsid w:val="00E219FC"/>
    <w:rsid w:val="00E243EB"/>
    <w:rsid w:val="00E25E7E"/>
    <w:rsid w:val="00E7680A"/>
    <w:rsid w:val="00E83F9D"/>
    <w:rsid w:val="00EB6DB0"/>
    <w:rsid w:val="00EC2006"/>
    <w:rsid w:val="00ED23EB"/>
    <w:rsid w:val="00EF76B0"/>
    <w:rsid w:val="00F158ED"/>
    <w:rsid w:val="00F17795"/>
    <w:rsid w:val="00F17A15"/>
    <w:rsid w:val="00F36426"/>
    <w:rsid w:val="00F40673"/>
    <w:rsid w:val="00F7008C"/>
    <w:rsid w:val="00F85C98"/>
    <w:rsid w:val="00FA0A5A"/>
    <w:rsid w:val="00FD6B0B"/>
    <w:rsid w:val="00FE6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418DB8-B2AF-40E4-9731-C087AA6F9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0405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header"/>
    <w:basedOn w:val="a"/>
    <w:rsid w:val="00A5041C"/>
    <w:pPr>
      <w:tabs>
        <w:tab w:val="center" w:pos="4677"/>
        <w:tab w:val="right" w:pos="9355"/>
      </w:tabs>
    </w:pPr>
  </w:style>
  <w:style w:type="paragraph" w:styleId="a4">
    <w:name w:val="footer"/>
    <w:basedOn w:val="a"/>
    <w:link w:val="a5"/>
    <w:rsid w:val="00A5041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locked/>
    <w:rsid w:val="00A5041C"/>
    <w:rPr>
      <w:rFonts w:ascii="Calibri" w:eastAsia="Calibri" w:hAnsi="Calibri"/>
      <w:sz w:val="22"/>
      <w:szCs w:val="22"/>
      <w:lang w:val="ru-RU" w:eastAsia="en-US" w:bidi="ar-SA"/>
    </w:rPr>
  </w:style>
  <w:style w:type="character" w:styleId="a6">
    <w:name w:val="Hyperlink"/>
    <w:rsid w:val="00A5041C"/>
    <w:rPr>
      <w:rFonts w:cs="Times New Roman"/>
      <w:color w:val="0000FF"/>
      <w:u w:val="single"/>
    </w:rPr>
  </w:style>
  <w:style w:type="table" w:styleId="a7">
    <w:name w:val="Table Grid"/>
    <w:basedOn w:val="a1"/>
    <w:rsid w:val="00E83F9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cp:lastModifiedBy>Shakarboy Goyibnazarov</cp:lastModifiedBy>
  <cp:revision>2</cp:revision>
  <dcterms:created xsi:type="dcterms:W3CDTF">2023-01-06T05:10:00Z</dcterms:created>
  <dcterms:modified xsi:type="dcterms:W3CDTF">2023-01-06T05:10:00Z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Daʼvo 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Daʼvo ariza berilgan fuqarolik ishlari bo‘yicha sud nomi</w:name>
    <w:comment xml:space="preserve"/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Daʼvo ariza berilgan sana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Daʼvogar to‘g‘risida maʼlumotlar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Daʼvogarning F.I.O.si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Daʼvogarning yashash manzili</w:name>
    <w:comment xml:space="preserve">Izoh: Ushbu bandda  viloyat, tuman (shahar), mahalla, ko‘cha nomi va uy raqami yoziladi</w:comment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Daʼvogarning telefon raqamlari</w:name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Daʼvogarning pochta (elektron) manzili</w:name>
    <w:value w:hidden="false">
      <w:unit w:active="false"/>
    </w:value>
  </w:element>
  <w:element w:id="10" w:kind="category" w:selector="check" w:type="string" w:valueMode="normal" w:required="false">
    <w:identifier xml:space="preserve">ID10</w:identifier>
    <w:name xml:space="preserve">Javobgar to‘g‘risida maʼlumotlar</w:name>
    <w:value w:hidden="true">
      <w:unit w:active="false"/>
    </w:value>
  </w:element>
  <w:element w:id="11" w:kind="variable" w:selector="check" w:type="string" w:valueMode="normal" w:required="false" w:groupID="10">
    <w:identifier xml:space="preserve">ID11</w:identifier>
    <w:name xml:space="preserve">Javobgarning F.I.O.si</w:name>
    <w:value w:hidden="false">
      <w:unit w:active="false"/>
    </w:value>
  </w:element>
  <w:element w:id="12" w:kind="variable" w:selector="check" w:type="string" w:valueMode="normal" w:required="false" w:groupID="10">
    <w:identifier xml:space="preserve">ID12</w:identifier>
    <w:name xml:space="preserve">Javobgarning yashash manzili</w:name>
    <w:comment xml:space="preserve">Izoh: Ushbu bandda  viloyat, tuman (shahar), mahalla, ko‘cha nomi va uy raqami yoziladi</w:comment>
    <w:value w:hidden="false">
      <w:unit w:active="false"/>
    </w:value>
  </w:element>
  <w:element w:id="13" w:kind="variable" w:selector="check" w:type="string" w:valueMode="normal" w:required="false" w:groupID="10">
    <w:identifier xml:space="preserve">ID13</w:identifier>
    <w:name xml:space="preserve">Javobgarning telefon raqamlari</w:name>
    <w:value w:hidden="false">
      <w:unit w:active="false"/>
    </w:value>
  </w:element>
  <w:element w:id="14" w:kind="variable" w:selector="check" w:type="string" w:valueMode="normal" w:required="false" w:groupID="10">
    <w:identifier xml:space="preserve">ID14</w:identifier>
    <w:name xml:space="preserve">Javobgarning pochta (elektron) manzili</w:name>
    <w:value w:hidden="false">
      <w:unit w:active="false"/>
    </w:value>
  </w:element>
  <w:element w:id="15" w:kind="category" w:selector="check" w:type="string" w:valueMode="normal" w:required="false">
    <w:identifier xml:space="preserve">ID15</w:identifier>
    <w:name xml:space="preserve">Daʼvo ariza mazmuni</w:name>
    <w:value w:hidden="true">
      <w:unit w:active="false"/>
    </w:value>
  </w:element>
  <w:element w:id="17" w:kind="variable" w:selector="check" w:type="string" w:valueMode="normal" w:required="false" w:groupID="15">
    <w:identifier xml:space="preserve">ID17</w:identifier>
    <w:name xml:space="preserve">Nikohni qayd etgan FHDYO bo‘limi nomi</w:name>
    <w:value w:hidden="false">
      <w:unit w:active="false"/>
    </w:value>
  </w:element>
  <w:element w:id="18" w:kind="variable" w:selector="check" w:type="date" w:valueMode="normal" w:required="false" w:groupID="15">
    <w:identifier xml:space="preserve">ID18</w:identifier>
    <w:name xml:space="preserve">Nikoh qayd etilgan sana</w:name>
    <w:value w:hidden="false">
      <w:unit w:active="false"/>
    </w:value>
  </w:element>
  <w:element w:id="19" w:kind="variable" w:selector="check" w:type="string" w:valueMode="normal" w:required="false" w:groupID="15">
    <w:identifier xml:space="preserve">ID19</w:identifier>
    <w:name xml:space="preserve">Dalolatnoma yozuvi raqami ko‘rsatiladi</w:name>
    <w:value w:hidden="false">
      <w:unit w:active="false"/>
    </w:value>
  </w:element>
  <w:element w:id="22" w:kind="variable" w:selector="check" w:type="string" w:valueMode="normal" w:required="false" w:groupID="15">
    <w:identifier xml:space="preserve">ID22</w:identifier>
    <w:name xml:space="preserve">Bo‘linishi so‘ralayotgan umumiy mol-mulklar</w:name>
    <w:comment xml:space="preserve">Izoh: Ushbu bandga bo‘linishi so‘ralayotlar mol-mulklarning aniq nomi, manzili, rusumi, soni va boshqa muhim xususiyatlari yoziladi</w:comment>
    <w:value w:hidden="false">
      <w:unit w:active="false"/>
    </w:value>
  </w:element>
  <w:element w:id="23" w:kind="variable" w:selector="check" w:type="string" w:valueMode="normal" w:required="false" w:groupID="15">
    <w:identifier xml:space="preserve">ID23</w:identifier>
    <w:name xml:space="preserve">Daʼvo arizaga ilova qilinayotgan boshqa hujjatlar ro‘yxati</w:name>
    <w:value w:hidden="false">
      <w:unit w:active="false"/>
    </w:value>
  </w:element>
</w:structure>
</file>