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color w:val="000000"/>
        </w:rPr>
      </w:pPr>
    </w:p>
    <w:p>
      <w:pPr>
        <w:jc w:val="center"/>
        <w:spacing w:after="0"/>
        <w:rPr>
          <w:b/>
        </w:rPr>
      </w:pPr>
      <w:r>
        <w:rPr>
          <w:b/>
        </w:rPr>
        <w:t xml:space="preserve">Mol-mulkni saqlash shartnomasi</w:t>
      </w:r>
    </w:p>
    <w:p>
      <w:pPr>
        <w:spacing w:after="0"/>
      </w:pPr>
    </w:p>
    <w:tbl>
      <w:tblPr>
        <w:tblW w:w="9450" w:type="dxa"/>
        <w:tblCellMar>
          <w:left w:w="15" w:type="dxa"/>
          <w:top w:w="15" w:type="dxa"/>
          <w:right w:w="15" w:type="dxa"/>
          <w:bottom w:w="15" w:type="dxa"/>
        </w:tblCellMar>
        <w:shd w:fill="ffffff"/>
      </w:tblPr>
      <w:tblGrid>
        <w:gridCol w:w="3137"/>
        <w:gridCol w:w="3137"/>
        <w:gridCol w:w="3176"/>
      </w:tblGrid>
      <w:tr>
        <w:tc>
          <w:tcPr>
            <w:tcW w:w="3137"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Shartnoma tuzilgan vaqt</w:t>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raqami</w:t>
              <w:fldChar w:fldCharType="end"/>
            </w:r>
            <w:r>
              <w:rPr>
                <w:color w:val="000000"/>
              </w:rPr>
              <w:t>-son</w:t>
            </w:r>
          </w:p>
        </w:tc>
        <w:tc>
          <w:tcPr>
            <w:tcW w:w="3176"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Shartnoma tuzilgan joy</w:t>
              <w:fldChar w:fldCharType="end"/>
            </w:r>
            <w:r>
              <w:rPr>
                <w:color w:val="000000"/>
              </w:rPr>
              <w:t xml:space="preserve"> </w:t>
            </w:r>
          </w:p>
        </w:tc>
      </w:tr>
    </w:tbl>
    <w:p>
      <w:pPr>
        <w:shd w:fill="ffffff"/>
        <w:spacing w:after="0"/>
        <w:rPr>
          <w:color w:val="000000"/>
        </w:rPr>
      </w:pPr>
      <w:r>
        <w:rPr>
          <w:color w:val="000000"/>
        </w:rPr>
        <w:t> </w:t>
      </w:r>
    </w:p>
    <w:p>
      <w:pPr>
        <w:jc w:val="both"/>
        <w:shd w:fill="ffffff"/>
        <w:ind w:firstLine="425"/>
        <w:spacing w:after="0"/>
        <w:rPr>
          <w:color w:val="000000"/>
        </w:rPr>
      </w:pP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Mol-mulkni saqlovchi yuridik shaxsning to‘liq nomi</w:t>
        <w:fldChar w:fldCharType="end"/>
      </w:r>
      <w:r>
        <w:rPr>
          <w:color w:val="000000"/>
        </w:rPr>
        <w:t xml:space="preserve">, keyingi oʻrinlarda “Saqlovchi” deb yuritiladi,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Mol-mulkni saqlovchiga shartnoma tuzish huquqini beruvchi hujjat</w:t>
        <w:fldChar w:fldCharType="end"/>
      </w:r>
      <w:r>
        <w:rPr>
          <w:color w:val="000000"/>
        </w:rPr>
        <w:t xml:space="preserve"> asosida ish yurituvchi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Mol-mulk saqlovchi shaxsning F.I.Sh.i</w:t>
        <w:fldChar w:fldCharType="end"/>
      </w:r>
      <w:r>
        <w:rPr>
          <w:color w:val="000000"/>
        </w:rPr>
        <w:t xml:space="preserve">, bir tomondan, va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Mol-mulk topshiruvchi yuridik shaxsning to‘liq nomi</w:t>
        <w:fldChar w:fldCharType="end"/>
      </w:r>
      <w:r>
        <w:rPr>
          <w:color w:val="000000"/>
        </w:rPr>
        <w:t xml:space="preserve">, bundan keyin “Mol-mulkni topshiruvchi” deb yuritiladi,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Mol-mulkni topshiruvchiga shartnoma tuzish huquqini beruvchi hujjat</w:t>
        <w:fldChar w:fldCharType="end"/>
      </w:r>
      <w:r>
        <w:rPr>
          <w:color w:val="000000"/>
        </w:rPr>
        <w:t xml:space="preserve"> asosida ish yurituvchi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Mol-mulk topshiruvchi shaxsning F.I.Sh.i</w:t>
        <w:fldChar w:fldCharType="end"/>
      </w:r>
      <w:r>
        <w:rPr>
          <w:color w:val="000000"/>
        </w:rPr>
        <w:t xml:space="preserve">, ikkinchi tomondan, keyingi oʻrinlarda birgalikda “Tomonlar”, yakka holda “Tomon” deb ataladi, ushbu shartnomani (keyingi oʻrinlarda — Shartnoma deb yuritiladi) quyidagicha tuzdilar:</w:t>
      </w:r>
    </w:p>
    <w:p>
      <w:pPr>
        <w:jc w:val="both"/>
        <w:shd w:fill="ffffff"/>
        <w:ind w:firstLine="425"/>
        <w:spacing w:after="0"/>
        <w:rPr>
          <w:color w:val="000000"/>
        </w:rPr>
      </w:pPr>
    </w:p>
    <w:p>
      <w:pPr>
        <w:jc w:val="center"/>
        <w:shd w:fill="ffffff"/>
        <w:ind w:firstLine="425"/>
        <w:spacing w:after="0"/>
        <w:rPr>
          <w:b/>
          <w:color w:val="000000"/>
        </w:rPr>
      </w:pPr>
      <w:r>
        <w:rPr>
          <w:b/>
          <w:color w:val="000000"/>
        </w:rPr>
        <w:t xml:space="preserve">1. SHARTNOMA PREDMETI</w:t>
      </w:r>
    </w:p>
    <w:p>
      <w:pPr>
        <w:jc w:val="both"/>
        <w:ind w:firstLine="709"/>
        <w:spacing w:after="0"/>
      </w:pPr>
      <w:r>
        <w:t xml:space="preserve">1.1. Ushbu Shartnomaga koʻra, Saqlovchi oʻz zimmasiga Mol-mulk topshiruvchi tomonidan topshirilgan mol-mulkni saqlash va yaxshi holatda qaytarish majburiyatini oladi.</w:t>
      </w:r>
    </w:p>
    <w:p>
      <w:pPr>
        <w:jc w:val="both"/>
        <w:ind w:firstLine="709"/>
        <w:spacing w:after="0"/>
      </w:pPr>
      <w:r>
        <w:t xml:space="preserve">1.2. Mol-mulk topshiruvchi ushbu Shartnoma boʻyicha </w:t>
      </w:r>
      <w:r>
        <w:rPr>
          <w:vanish w:val="false"/>
        </w:rPr>
        <w:fldChar w:fldCharType="begin"/>
        <w:instrText xml:space="preserve">X {"Y":24}</w:instrText>
        <w:fldChar w:fldCharType="separate"/>
      </w:r>
      <w:r>
        <w:rPr>
          <w:vanish w:val="false"/>
        </w:rPr>
        <w:t xml:space="preserve">Mol-mulkni saqlash muddati</w:t>
        <w:fldChar w:fldCharType="end"/>
      </w:r>
      <w:r>
        <w:t xml:space="preserve">gacha boʻlgan muddatga saqlash uchun quyidagi mulkni topshiradi: </w:t>
      </w:r>
    </w:p>
    <w:p>
      <w:pPr>
        <w:jc w:val="both"/>
        <w:ind w:firstLine="709"/>
        <w:spacing w:after="0"/>
      </w:pPr>
      <w:r>
        <w:rPr>
          <w:vanish w:val="false"/>
        </w:rPr>
        <w:fldChar w:fldCharType="begin"/>
        <w:instrText xml:space="preserve">X {"Y":25}</w:instrText>
        <w:fldChar w:fldCharType="separate"/>
      </w:r>
      <w:r>
        <w:rPr>
          <w:vanish w:val="false"/>
        </w:rPr>
        <w:t xml:space="preserve">Topshirilayotgan mol-mulk yoki ashyoning nomi, uning xususiyatlari va boshqalar</w:t>
        <w:fldChar w:fldCharType="end"/>
      </w:r>
      <w:r>
        <w:t xml:space="preserve"> (keyingi oʻrinlarda “Mol-mulk” deb yuritiladi).</w:t>
      </w:r>
    </w:p>
    <w:p>
      <w:pPr>
        <w:jc w:val="both"/>
        <w:ind w:firstLine="709"/>
        <w:spacing w:after="0"/>
      </w:pPr>
    </w:p>
    <w:p>
      <w:pPr>
        <w:jc w:val="center"/>
        <w:ind w:firstLine="709"/>
        <w:spacing w:after="0"/>
        <w:rPr>
          <w:b/>
        </w:rPr>
      </w:pPr>
      <w:r>
        <w:rPr>
          <w:b/>
        </w:rPr>
        <w:t xml:space="preserve">2. TOMONLARING HUQUQ VA MAJBURIYATLARI</w:t>
      </w:r>
    </w:p>
    <w:p>
      <w:pPr>
        <w:jc w:val="both"/>
        <w:ind w:firstLine="709"/>
        <w:spacing w:after="0"/>
      </w:pPr>
      <w:r>
        <w:t xml:space="preserve">2.1. Saqlovchi quyidagilarga majbur:</w:t>
      </w:r>
    </w:p>
    <w:p>
      <w:pPr>
        <w:jc w:val="both"/>
        <w:ind w:firstLine="709"/>
        <w:spacing w:after="0"/>
      </w:pPr>
      <w:r>
        <w:t xml:space="preserve">2.1.1. Mol-mulkni ushbu Shartnomaning 1.2-bandida koʻrsatilgan muddat davomida saqlash.</w:t>
      </w:r>
    </w:p>
    <w:p>
      <w:pPr>
        <w:jc w:val="both"/>
        <w:ind w:firstLine="709"/>
        <w:spacing w:after="0"/>
      </w:pPr>
      <w:r>
        <w:t xml:space="preserve">2.1.2. Oʻziga berilgan mol-mulkning saqlanishi uchun qonunlarda va boshqa normativ-huquqiy hujjatlarda belgilangan tartibda (yongʻinga qarshi, sanitariya, qoʻriqlash va boshqalar) nazarda tutilgan majburiyatlarini bajarish choralarini koʻrishi, xususan: </w:t>
      </w:r>
      <w:r>
        <w:rPr>
          <w:vanish w:val="false"/>
        </w:rPr>
        <w:fldChar w:fldCharType="begin"/>
        <w:instrText xml:space="preserve">X {"Y":26}</w:instrText>
        <w:fldChar w:fldCharType="separate"/>
      </w:r>
      <w:r>
        <w:rPr>
          <w:vanish w:val="false"/>
        </w:rPr>
        <w:t xml:space="preserve">Mol-mulkni saqlash bo‘yicha boshqa majburiyatlari</w:t>
        <w:fldChar w:fldCharType="end"/>
      </w:r>
    </w:p>
    <w:p>
      <w:pPr>
        <w:jc w:val="both"/>
        <w:ind w:firstLine="709"/>
        <w:spacing w:after="0"/>
      </w:pPr>
      <w:r>
        <w:t xml:space="preserve">2.1.3. Ish yuritish odatlariga va ushbu Shartnomaning mohiyatiga mos keladigan mol-mulkni, shu jumladan saqlashga topshirilgan narsaning xususiyatlarini saqlash choralarini koʻrishi, xususan: </w:t>
      </w:r>
      <w:r>
        <w:rPr>
          <w:vanish w:val="false"/>
        </w:rPr>
        <w:fldChar w:fldCharType="begin"/>
        <w:instrText xml:space="preserve">X {"Y":27}</w:instrText>
        <w:fldChar w:fldCharType="separate"/>
      </w:r>
      <w:r>
        <w:rPr>
          <w:vanish w:val="false"/>
        </w:rPr>
        <w:t xml:space="preserve">Mol-mulkni saqlashning choralari</w:t>
        <w:fldChar w:fldCharType="end"/>
      </w:r>
      <w:r>
        <w:t>.</w:t>
      </w:r>
    </w:p>
    <w:p>
      <w:pPr>
        <w:jc w:val="both"/>
        <w:ind w:firstLine="709"/>
        <w:spacing w:after="0"/>
      </w:pPr>
      <w:r>
        <w:t xml:space="preserve">2.1.4. Mol-mulkning saqlanishi uchun quyidagi qoʻshimcha choralarni koʻradi: </w:t>
      </w:r>
      <w:r>
        <w:rPr>
          <w:vanish w:val="false"/>
        </w:rPr>
        <w:fldChar w:fldCharType="begin"/>
        <w:instrText xml:space="preserve">X {"Y":28}</w:instrText>
        <w:fldChar w:fldCharType="separate"/>
      </w:r>
      <w:r>
        <w:rPr>
          <w:vanish w:val="false"/>
        </w:rPr>
        <w:t xml:space="preserve">Mol-mulkni saqlash bo‘yicha qo‘shimcha choralar</w:t>
        <w:fldChar w:fldCharType="end"/>
      </w:r>
      <w:r>
        <w:t>.</w:t>
      </w:r>
    </w:p>
    <w:p>
      <w:pPr>
        <w:jc w:val="both"/>
        <w:ind w:firstLine="709"/>
        <w:spacing w:after="0"/>
      </w:pPr>
      <w:r>
        <w:t xml:space="preserve">2.1.5. Saqlash uchun topshirilgan mol-mulkdan Mol-mulk topshiruvchining roziligisiz foydalanmasligi, shuningdek uchinchi shaxslarga foydalanish imkoniyatini bermasligi kerak, bunda saqlanishga topshirilgan mol-mulkdan foydalanish uning normal holatini taʼminlash uchun zarur boʻlgan va ushbu shartnomaga zid boʻlmagan holatlar bundan mustasno.</w:t>
      </w:r>
    </w:p>
    <w:p>
      <w:pPr>
        <w:jc w:val="both"/>
        <w:ind w:firstLine="709"/>
        <w:spacing w:after="0"/>
      </w:pPr>
      <w:r>
        <w:t xml:space="preserve">2.1.6. Ushbu Shartnomada nazarda tutilgan mol-mulkni saqlash shartlarini oʻzgartirish zarurati toʻgʻrisida darhol Mol-mulk topshiruvchiga xabar berishi va uning javobini kutishi kerak.</w:t>
      </w:r>
    </w:p>
    <w:p>
      <w:pPr>
        <w:jc w:val="both"/>
        <w:ind w:firstLine="709"/>
        <w:spacing w:after="0"/>
      </w:pPr>
      <w:r>
        <w:t xml:space="preserve">2.1.7. Mol-mulk topshiruvchining roziligisiz mol-mulkni saqlash uchun uchinchi shaxsga oʻtkazmasligi kerak, bunda u Mol-mulkni topshiruvchining manfaatlarini koʻzlab shunday qilishga majbur boʻlgan va uning roziligini olish imkoniyatidan mahrum boʻlgan hollar mustasno.</w:t>
      </w:r>
    </w:p>
    <w:p>
      <w:pPr>
        <w:jc w:val="both"/>
        <w:ind w:firstLine="709"/>
        <w:spacing w:after="0"/>
      </w:pPr>
      <w:r>
        <w:t xml:space="preserve">Saqlovchi mol-mulkni uchun uchinchi shaxsga topshirilganligi toʻgʻrisida Mol-mulk topshiruvchini darhol xabardor qilishi shart.</w:t>
      </w:r>
    </w:p>
    <w:p>
      <w:pPr>
        <w:jc w:val="both"/>
        <w:ind w:firstLine="709"/>
        <w:spacing w:after="0"/>
      </w:pPr>
      <w:r>
        <w:t xml:space="preserve">Saqlovchi mol-mulkni uchinchi shaxsga saqlash uchun topshirganda, saqlovchi oʻziga yuklatilgan majburiyatlari kabi mol-mulkni saqlash uchun olgan uchinchi shaxsning harakatlari uchun javobgar hisoblanadi hamda ushbu shartnomaning shartlari oʻz kuchida qoladi.</w:t>
      </w:r>
    </w:p>
    <w:p>
      <w:pPr>
        <w:jc w:val="both"/>
        <w:ind w:firstLine="709"/>
        <w:spacing w:after="0"/>
      </w:pPr>
      <w:r>
        <w:t xml:space="preserve">2.1.8. Mol-mulk quyidagi holatlarda topshiruvchiga qaytarib beriladi.</w:t>
      </w:r>
    </w:p>
    <w:p>
      <w:pPr>
        <w:jc w:val="both"/>
        <w:ind w:firstLine="709"/>
        <w:spacing w:after="0"/>
      </w:pPr>
      <w:r>
        <w:t xml:space="preserve">Saqlovchi tomonidan mol-mulk uning tabiiy yomonlashuvi, tabiiy eskirishi yoki tabiiy xossalariga koʻra boshqa oʻzgarishlarini hisobga olgan holda, saqlashga qabul qilingan holatida qaytarishi kerak.</w:t>
      </w:r>
    </w:p>
    <w:p>
      <w:pPr>
        <w:jc w:val="both"/>
        <w:ind w:firstLine="709"/>
        <w:spacing w:after="0"/>
      </w:pPr>
      <w:r>
        <w:t xml:space="preserve">2.1.9. Mol-mulk topshiruvchining birinchi iltimosiga koʻra, ushbu Shartnomaning 1.2-bandida koʻrsatilgan saqlash muddati hali tugamagan boʻlsa ham, saqlash uchun qabul qilingan narsani qaytarib berishi kerak.</w:t>
      </w:r>
    </w:p>
    <w:p>
      <w:pPr>
        <w:jc w:val="both"/>
        <w:ind w:firstLine="709"/>
        <w:spacing w:after="0"/>
      </w:pPr>
      <w:r>
        <w:t xml:space="preserve">2.2. Mol-mulk topshiruvchi quyidagilarga majbur:</w:t>
      </w:r>
    </w:p>
    <w:p>
      <w:pPr>
        <w:jc w:val="both"/>
        <w:ind w:firstLine="709"/>
        <w:spacing w:after="0"/>
      </w:pPr>
      <w:r>
        <w:t xml:space="preserve">2.2.1. Saqlovchiga mol-mulkni saqlashning oʻziga xos xususiyatlari toʻgʻrisida kerakli maʼlumotlarni xabardor qilish.</w:t>
      </w:r>
    </w:p>
    <w:p>
      <w:pPr>
        <w:jc w:val="both"/>
        <w:ind w:firstLine="709"/>
        <w:spacing w:after="0"/>
      </w:pPr>
      <w:r>
        <w:t xml:space="preserve">2.2.2. Mol-mulkni saqlaganlik uchun oʻz vaqtida haq toʻlash.</w:t>
      </w:r>
    </w:p>
    <w:p>
      <w:pPr>
        <w:jc w:val="both"/>
        <w:ind w:firstLine="709"/>
        <w:spacing w:after="0"/>
      </w:pPr>
      <w:r>
        <w:t xml:space="preserve">2.2.3. Saqlash muddati tugagandan soʻng, saqlash uchun topshirilgan mol-mulkni qaytarib olish.</w:t>
      </w:r>
    </w:p>
    <w:p>
      <w:pPr>
        <w:jc w:val="both"/>
        <w:ind w:firstLine="709"/>
        <w:spacing w:after="0"/>
      </w:pPr>
      <w:r>
        <w:t xml:space="preserve">2.2.4. </w:t>
      </w:r>
      <w:r>
        <w:rPr>
          <w:vanish w:val="false"/>
        </w:rPr>
        <w:fldChar w:fldCharType="begin"/>
        <w:instrText xml:space="preserve">X {"Y":29}</w:instrText>
        <w:fldChar w:fldCharType="separate"/>
      </w:r>
      <w:r>
        <w:rPr>
          <w:vanish w:val="false"/>
        </w:rPr>
        <w:t xml:space="preserve">Mol-mulk topshiruvchining boshqa majburiyatlari</w:t>
        <w:fldChar w:fldCharType="end"/>
      </w:r>
      <w:r>
        <w:t>.</w:t>
      </w:r>
    </w:p>
    <w:p>
      <w:pPr>
        <w:jc w:val="both"/>
        <w:ind w:firstLine="709"/>
        <w:spacing w:after="0"/>
      </w:pPr>
      <w:r>
        <w:t xml:space="preserve">2.3. Agar mol-mulkning yoʻqolish, buzilish yoki shikastlanish xavfini bartaraf etish uchun saqlash shartlarini oʻzgartirish zaruriyati paydo boʻlsa, saqlovchi Mol-mulk topshiruvchining javobini kutmasdan turib saqlash usulini, joyini va boshqa shartlarini oʻzgartirishga haqli (Shartnomaning 2.1.6-bandi).</w:t>
      </w:r>
    </w:p>
    <w:p>
      <w:pPr>
        <w:jc w:val="both"/>
        <w:ind w:firstLine="709"/>
        <w:spacing w:after="0"/>
      </w:pPr>
      <w:r>
        <w:t xml:space="preserve">2.4. Agar saqlash vaqtida mol-mulkka haqiqiy zarar yetkazilishi xavfi mavjud boʻlsa yoki mol-mulk allaqachon shikastlangan boʻlsa yoki uning normal holatda saqlanishini taʼminlashga imkon bermaydigan holatlar yuzaga kelgan boʻlsa va Mol-mulkni topshiruvchidan oʻz vaqtida chora koʻrishni kutish mumkin boʻlmasa, saqlovchi mol-mulkni yoki uning bir qismini saqlash joyidagi narxda mustaqil ravishda sotish huquqiga ega boʻladi. Agar ushbu holatlar saqlovchi javobgar boʻlmagan sabablarga koʻra yuzaga kelgan boʻlsa, u sotish uchun qilgan xarajatlarini sotib yuborilgan mol-mulk hisobidan qoplashga haqli.</w:t>
      </w:r>
    </w:p>
    <w:p>
      <w:pPr>
        <w:jc w:val="both"/>
        <w:ind w:firstLine="709"/>
        <w:spacing w:after="0"/>
      </w:pPr>
      <w:r>
        <w:t xml:space="preserve">2.5. Agar Saqlovchining saqlash qoidalariga rioya qilganligiga qaramay, mol-mulkni saqlash vaqtida u boshqalar uchun yoki Saqlovchi yoki uchinchi shaxslarning mulki uchun xavf tugʻdiradigan boʻlsa, Saqlovchi mol-mulkning xavfliligi toʻgʻrisida Mol-mulkni topshiruvchini darhol xabardor qilishi shart. Mol-mulkni topshiruvchi xabarnomani olgandan soʻng, darhol mol-mulkni qaytarib olishga majburdir.</w:t>
      </w:r>
    </w:p>
    <w:p>
      <w:pPr>
        <w:jc w:val="both"/>
        <w:ind w:firstLine="709"/>
        <w:spacing w:after="0"/>
      </w:pPr>
      <w:r>
        <w:t xml:space="preserve">2.6. Agar vaziyat Saqlovchiga Mol-mulk topshiruvchini xabardor qilishga imkon bermasa yoki xabarnomaga qaramay, Mol-mulk topshiruvchi Saqlovchining nazoratidan tashqarida boʻlgan sabablarga koʻra xavfli boʻlib qolgan mol-mulkni darhol olish majburiyatini bajarmasa, Saqlovchi Mol-mulk topshiruvchiga zararni qoplamasdan, mol-mulkni zararsizlantirish yoki yoʻq qilish huquqiga yega. Bunday holda, Mol-mulk topshiruvchi Saqlovchi va uchinchi shaxslar oldida bunday narsalarni saqlash bilan bogʻliq zararlar uchun javobgar boʻlmaydi.</w:t>
      </w:r>
    </w:p>
    <w:p>
      <w:pPr>
        <w:jc w:val="both"/>
        <w:ind w:firstLine="709"/>
        <w:spacing w:after="0"/>
      </w:pPr>
      <w:r>
        <w:t xml:space="preserve">2.7. Agar Mol-mulk topshiruvchi mol-mulkni qaytarib olish boʻyicha oʻz majburiyatini bajarmasa, shu jumladan u mol-mulkni olishdan boʻyin tovlagan taqdirda, Saqlovchi Mol-mulk topshiruvchini yozma ogohlantirganidan soʻng mol-mulkni Oʻzbekiston Respublikasining amaldagi qonunchiligida belgilangan tartibda mustaqil ravishda sotishga haqli.</w:t>
      </w:r>
    </w:p>
    <w:p>
      <w:pPr>
        <w:jc w:val="both"/>
        <w:ind w:firstLine="709"/>
        <w:spacing w:after="0"/>
      </w:pPr>
      <w:r>
        <w:t xml:space="preserve">Mol-mulkni sotishdan tushgan mablagʻlar Saqlovchiga toʻlanishi kerak boʻlgan summalarni, shu jumladan uning mol-mulkni sotish bilan bogʻliq xarajatlarini ayirib tashlagan holda Mol-mulk topshiruvchiga oʻtkaziladi.</w:t>
      </w:r>
    </w:p>
    <w:p>
      <w:pPr>
        <w:jc w:val="both"/>
        <w:ind w:firstLine="709"/>
        <w:spacing w:after="0"/>
      </w:pPr>
      <w:r>
        <w:t xml:space="preserve">2.8. Ushbu Shartnomaning 1.2-bandida koʻrsatilgan saqlash muddati tugagandan soʻng, saqlovchi mol-mulkni Mol-mulk topshiruvchining vakolatli shaxsiga </w:t>
      </w:r>
      <w:r>
        <w:rPr>
          <w:vanish w:val="false"/>
        </w:rPr>
        <w:fldChar w:fldCharType="begin"/>
        <w:instrText xml:space="preserve">X {"Y":30}</w:instrText>
        <w:fldChar w:fldCharType="separate"/>
      </w:r>
      <w:r>
        <w:rPr>
          <w:vanish w:val="false"/>
        </w:rPr>
        <w:t xml:space="preserve">Mol-mulk topshiriladigan manzilning to‘liq nomi</w:t>
        <w:fldChar w:fldCharType="end"/>
      </w:r>
      <w:r>
        <w:t xml:space="preserve"> dagi manzilga topshirishi shart.</w:t>
      </w:r>
    </w:p>
    <w:p>
      <w:pPr>
        <w:jc w:val="both"/>
        <w:ind w:firstLine="709"/>
        <w:spacing w:after="0"/>
      </w:pPr>
    </w:p>
    <w:p>
      <w:pPr>
        <w:jc w:val="center"/>
        <w:ind w:firstLine="709"/>
        <w:spacing w:after="0"/>
        <w:rPr>
          <w:b/>
        </w:rPr>
      </w:pPr>
      <w:r>
        <w:rPr>
          <w:b/>
        </w:rPr>
        <w:t xml:space="preserve">3. MOL-MULKNI SAQLAGANLIK UCHUN HAQ</w:t>
      </w:r>
    </w:p>
    <w:p>
      <w:pPr>
        <w:jc w:val="both"/>
        <w:ind w:firstLine="709"/>
        <w:spacing w:after="0"/>
      </w:pPr>
      <w:r>
        <w:t xml:space="preserve">3.1. Ushbu Shartnoma boʻyicha mol-mulkni saqlaganlik uchun toʻlov </w:t>
      </w:r>
      <w:r>
        <w:rPr>
          <w:vanish w:val="false"/>
        </w:rPr>
        <w:fldChar w:fldCharType="begin"/>
        <w:instrText xml:space="preserve">X {"Y":31}</w:instrText>
        <w:fldChar w:fldCharType="separate"/>
      </w:r>
      <w:r>
        <w:rPr>
          <w:vanish w:val="false"/>
        </w:rPr>
        <w:t xml:space="preserve">Mol-mulkni saqlaganlik uchun to‘lov summasi miqdori — dastlab sonlar bilan keyin so‘zlar bilan yozilishi kerak</w:t>
        <w:fldChar w:fldCharType="end"/>
      </w:r>
      <w:r>
        <w:t xml:space="preserve"> soʻmni tashkil qiladi.</w:t>
      </w:r>
    </w:p>
    <w:p>
      <w:pPr>
        <w:jc w:val="both"/>
        <w:ind w:firstLine="709"/>
        <w:spacing w:after="0"/>
      </w:pPr>
      <w:r>
        <w:t xml:space="preserve">3.2. Saqlash uchun toʻlov Saqlovchiga </w:t>
      </w:r>
      <w:r>
        <w:rPr>
          <w:vanish w:val="false"/>
        </w:rPr>
        <w:fldChar w:fldCharType="begin"/>
        <w:instrText xml:space="preserve">X {"Y":32}</w:instrText>
        <w:fldChar w:fldCharType="separate"/>
      </w:r>
      <w:r>
        <w:rPr>
          <w:vanish w:val="false"/>
        </w:rPr>
        <w:t xml:space="preserve">Teng qismlarda to‘lanadigan summa miqdori</w:t>
        <w:fldChar w:fldCharType="end"/>
      </w:r>
      <w:r>
        <w:t xml:space="preserve"> soʻm miqdorida teng qismlarda quyidagi davr oraliqlarida toʻlanadi: </w:t>
      </w:r>
      <w:r>
        <w:rPr>
          <w:vanish w:val="false"/>
        </w:rPr>
        <w:fldChar w:fldCharType="begin"/>
        <w:instrText xml:space="preserve">X {"Y":32}</w:instrText>
        <w:fldChar w:fldCharType="separate"/>
      </w:r>
      <w:r>
        <w:rPr>
          <w:vanish w:val="false"/>
        </w:rPr>
        <w:t xml:space="preserve">Teng qismlarda to‘lanadigan summa miqdori</w:t>
        <w:fldChar w:fldCharType="end"/>
      </w:r>
      <w:r>
        <w:t xml:space="preserve"> (yoki saqlash muddati tugaganidan keyin bir martalik toʻlov orqali toʻlanadi).</w:t>
      </w:r>
    </w:p>
    <w:p>
      <w:pPr>
        <w:jc w:val="both"/>
        <w:ind w:firstLine="709"/>
        <w:spacing w:after="0"/>
      </w:pPr>
      <w:r>
        <w:t xml:space="preserve">3.3. Mol-mulkni saqlaganlik haqini toʻlash toʻlanishi kerak boʻlgan muddatning yarmidan koʻprogʻiga kechiktirilgan taqdirda, Saqlovchi ushbu Shartnomani bajarishni rad etishga va Mol-mulk topshiruvchidan saqlashga berilgan mol-mulkni darhol olishni talab qilishga haqli.</w:t>
      </w:r>
    </w:p>
    <w:p>
      <w:pPr>
        <w:jc w:val="both"/>
        <w:ind w:firstLine="709"/>
        <w:spacing w:after="0"/>
      </w:pPr>
      <w:r>
        <w:t xml:space="preserve">3.4. Agar mol-mulkni saqlash Saqlovchi javobgar boʻlgan holatlar tufayli muddatidan oldin tugatilgan boʻlsa, u saqlash uchun haq talab qilishga haqli emas va saqlash uchun olingan haq Mol-mulk topshiruvchiga qaytarilishi kerak.</w:t>
      </w:r>
    </w:p>
    <w:p>
      <w:pPr>
        <w:jc w:val="both"/>
        <w:ind w:firstLine="709"/>
        <w:spacing w:after="0"/>
      </w:pPr>
      <w:r>
        <w:t xml:space="preserve">3.5. Agar saqlash muddati tugagandan soʻng Mol-mulk topshiruvchi mol-mulkni qaytarib olmasa, u Saqlovchiga mol-mulkni keyingi saqlash uchun munosib haq toʻlash majburiyatini oladi. Ushbu qoida, shuningdek, Mol-mulk topshiruvchi mol-mulkni saqlash muddati tugagunga qadar olishga majbur boʻlgan hollarda ham qoʻllaniladi.</w:t>
      </w:r>
    </w:p>
    <w:p>
      <w:pPr>
        <w:jc w:val="both"/>
        <w:ind w:firstLine="709"/>
        <w:spacing w:after="0"/>
      </w:pPr>
      <w:r>
        <w:t xml:space="preserve">3.6. Saqlovchining mol-mulknini saqlash xarajatlari saqlaganlik uchun haq toʻloviga kiritilgan.</w:t>
      </w:r>
    </w:p>
    <w:p>
      <w:pPr>
        <w:jc w:val="both"/>
        <w:ind w:firstLine="709"/>
        <w:spacing w:after="0"/>
      </w:pPr>
      <w:r>
        <w:t xml:space="preserve">3.7. Saqlash xarajatlari Tomonlar ushbu Shartnomani tuzishda oldindan koʻra olmagan vaziyatlar (favqulodda xarajatlar) sababli va shu turdagi odatiy xarajatlardan oshib ketganda, agar Mol-mulk topshiruvchi ushbu xarajatlarga rozi boʻlsa yoki ularni keyinchalik tasdiqlagan boʻlsa, shuningdek, qonun hujjatlarida nazarda tutilgan boshqa hollarda Saqlovchiga qoplab beriladi.</w:t>
      </w:r>
    </w:p>
    <w:p>
      <w:pPr>
        <w:jc w:val="both"/>
        <w:ind w:firstLine="709"/>
        <w:spacing w:after="0"/>
      </w:pPr>
      <w:r>
        <w:t xml:space="preserve">3.8. Favqulodda xarajatlarni amalga oshirish zarurati tugʻilgan taqdirda, Saqlovchi ushbu xarajatlar uchun Mol-mulk topshiruvchidan roziligini soʻrashi shart. Agar Mol-mulk topshiruvchi oʻz noroziligini Saqlovchi tomonidan belgilangan muddatda yoki odatda javob berish uchun talab qilinadigan vaqt ichida bildirmasa, u favqulodda qilingan xarajatlarga rozi boʻlgan hisoblanadi.</w:t>
      </w:r>
    </w:p>
    <w:p>
      <w:pPr>
        <w:jc w:val="both"/>
        <w:ind w:firstLine="709"/>
        <w:spacing w:after="0"/>
      </w:pPr>
      <w:r>
        <w:t xml:space="preserve">Agar Saqlovchi Mol-mulk topshiruvchining oldindan roziligisiz saqlash uchun favqulodda xarajatlarni amalga oshirgan boʻlsa, garchi bu ishning holatlariga koʻra mumkin boʻlsa va Mol-mulk topshiruvchi ularni keyinchalik tasdiqlamasa, Saqlovchi favqulodda xarajatlarni qoplashni talab qilishi mumkin. </w:t>
      </w:r>
    </w:p>
    <w:p>
      <w:pPr>
        <w:jc w:val="both"/>
        <w:ind w:firstLine="709"/>
        <w:spacing w:after="0"/>
      </w:pPr>
      <w:r>
        <w:t xml:space="preserve">3.9. Favqulodda xarajatlar Mol-mulk topshiruvchi tomonidan saqlash toʻlovidan ortiq miqdorda qoplanadi.</w:t>
      </w:r>
    </w:p>
    <w:p>
      <w:pPr>
        <w:jc w:val="both"/>
        <w:ind w:firstLine="709"/>
        <w:spacing w:after="0"/>
      </w:pPr>
    </w:p>
    <w:p>
      <w:pPr>
        <w:jc w:val="center"/>
        <w:ind w:firstLine="709"/>
        <w:spacing w:after="0"/>
        <w:rPr>
          <w:b/>
        </w:rPr>
      </w:pPr>
      <w:r>
        <w:rPr>
          <w:b/>
        </w:rPr>
        <w:t xml:space="preserve">4. SHARTNOMA BOʻYICHA TOMONLARNING JAVOBGARLIGI</w:t>
      </w:r>
    </w:p>
    <w:p>
      <w:pPr>
        <w:jc w:val="both"/>
        <w:ind w:firstLine="709"/>
        <w:spacing w:after="0"/>
      </w:pPr>
      <w:r>
        <w:t xml:space="preserve">4.1. Saqlovchi mol-mulkning yoʻqolishi, yetishmasligi yoki shikastlanishi uchun, agar u fors-major holatlari yoki ashyoning xususiyatlari tufayli sodir boʻlganligini isbotlamasa, javobgar boʻladi.</w:t>
      </w:r>
    </w:p>
    <w:p>
      <w:pPr>
        <w:jc w:val="both"/>
        <w:ind w:firstLine="709"/>
        <w:spacing w:after="0"/>
      </w:pPr>
      <w:r>
        <w:t xml:space="preserve">4.2. Mol-mulkning yoʻqolishi, kamomadi yoki shikastlanganligi uchun Mol-mulk topshiruvchining ushbu mol-mulkni qaytarib olish majburiyati kelganidan soʻng, Saqlovchi faqat uni qasddan yoki qoʻpol ehtiyotsizligi oqibatida sodir etgan boʻlsagina javobgar boʻladi.</w:t>
      </w:r>
    </w:p>
    <w:p>
      <w:pPr>
        <w:jc w:val="both"/>
        <w:ind w:firstLine="709"/>
        <w:spacing w:after="0"/>
      </w:pPr>
      <w:r>
        <w:t xml:space="preserve">4.3. Mol-mulkning yoʻqolishi, yetishmasligi yoki shikastlanishi natijasida Mol-mulk topshiruvchiga yetkazilgan zararlar Oʻzbekiston Respublikasining amaldagi qonunchiligi qoidalariga muvofiq Saqlovchi tomonidan qoplanadi.</w:t>
      </w:r>
    </w:p>
    <w:p>
      <w:pPr>
        <w:jc w:val="both"/>
        <w:ind w:firstLine="709"/>
        <w:spacing w:after="0"/>
      </w:pPr>
      <w:r>
        <w:t xml:space="preserve">4.4. Agar Saqlovchi javobgar boʻlgan zarar natijasida mol-mulkning sifati oʻzgargan boʻlsa, uni asl maqsadi boʻyicha ishlatib boʻlmaydigan boʻlsa, Mol-mulk topshiruvchi uni rad etishga va Saqlovchidan xarajatlarni qoplashni talab qilishga haqli, bunda agar qonun hujjatlarida boshqacha qoida nazarda tutilgan boʻlmasa.</w:t>
      </w:r>
    </w:p>
    <w:p>
      <w:pPr>
        <w:jc w:val="both"/>
        <w:ind w:firstLine="709"/>
        <w:spacing w:after="0"/>
      </w:pPr>
      <w:r>
        <w:t xml:space="preserve">4.5. Agar Saqlovchi mol-mulkni saqlashga qabul qilganda unga shikast yetgazilganligi haqida bilmasa va bilishi kerak boʻlmasa, Mol-mulk topshiruvchi saqlashga topshirilgan mol-mulkning xususiyatlari bilan bogʻliq yetkazilgan zararni qoplashi shart. </w:t>
      </w:r>
    </w:p>
    <w:p>
      <w:pPr>
        <w:jc w:val="both"/>
        <w:ind w:firstLine="709"/>
        <w:spacing w:after="0"/>
      </w:pPr>
      <w:r>
        <w:t xml:space="preserve">4.6. Mol-mulk topshiruvchi tomonidan ushbu Shartnomaning 3.2-bandida belgilangan saqlash uchun haq toʻlash muddati buzilgan taqdirda, Saqlovchi Mol-mulk topshiruvchidan toʻlanmagan summaning har bir kechikkan kuni uchun</w:t>
      </w:r>
      <w:r>
        <w:rPr>
          <w:vanish w:val="false"/>
        </w:rPr>
        <w:fldChar w:fldCharType="begin"/>
        <w:instrText xml:space="preserve">X {"Y":34}</w:instrText>
        <w:fldChar w:fldCharType="separate"/>
      </w:r>
      <w:r>
        <w:rPr>
          <w:vanish w:val="false"/>
        </w:rPr>
        <w:t xml:space="preserve">To‘lanmagan summa uchun penyaning foizdagi miqdori</w:t>
        <w:fldChar w:fldCharType="end"/>
      </w:r>
      <w:r>
        <w:t xml:space="preserve"> % miqdorida penya toʻlashni talab qilishga haqli.</w:t>
      </w:r>
    </w:p>
    <w:p>
      <w:pPr>
        <w:jc w:val="both"/>
        <w:ind w:firstLine="709"/>
        <w:spacing w:after="0"/>
      </w:pPr>
      <w:r>
        <w:t xml:space="preserve">4.7. Ushbu Shartnoma boʻyicha boshqa majburiyatlarni bajarmaganlik yoki lozim darajada bajarmaganlik uchun Tomonlar Oʻzbekiston Respublikasining amaldagi qonunchiligiga muvofiq javobgar boʻladilar.</w:t>
      </w:r>
    </w:p>
    <w:p>
      <w:pPr>
        <w:jc w:val="both"/>
        <w:ind w:firstLine="709"/>
        <w:spacing w:after="0"/>
      </w:pPr>
    </w:p>
    <w:p>
      <w:pPr>
        <w:jc w:val="center"/>
        <w:ind w:firstLine="709"/>
        <w:spacing w:after="0"/>
        <w:rPr>
          <w:b/>
        </w:rPr>
      </w:pPr>
      <w:r>
        <w:rPr>
          <w:b/>
        </w:rPr>
        <w:t xml:space="preserve">5. FORS-MAJOR</w:t>
      </w:r>
    </w:p>
    <w:p>
      <w:pPr>
        <w:jc w:val="both"/>
        <w:ind w:firstLine="709"/>
        <w:spacing w:after="0"/>
      </w:pPr>
      <w:r>
        <w:t xml:space="preserve">5.1. Tomonlar ushbu Shartnoma boʻyicha majburiyatlarini qisman yoki toʻliq bajarmaganlik uchun javobgarlikdan fors-major holatlari, yaʼni ushbu shartlar boʻyicha favqulodda va muqarrar holatlar tufayli tegishli tarzda bajarish mumkin emasligini isbotlasa ozod qilinadi. Bunday holatlarga, xususan, qarzdorning kontragentlari tomonidan majburiyatlarning buzilishi, qarzdorning zarur mablagʻlari yetishmasligi kirmaydi.</w:t>
      </w:r>
    </w:p>
    <w:p>
      <w:pPr>
        <w:jc w:val="both"/>
        <w:ind w:firstLine="709"/>
        <w:spacing w:after="0"/>
      </w:pPr>
      <w:r>
        <w:t xml:space="preserve">5.2. Ushbu Shartnomaning 5.1-bandida koʻrsatilgan holatlar yuzaga kelganda, har bir Tomon boshqa Tomonni darhol yozma ravishda xabardor qilishi shart. Xabarda holatlarning mohiyati toʻgʻrisidagi maʼlumotlar, shuningdek, ushbu holatlar mavjudligini tasdiqlovchi va iloji boʻlsa, ularning Tomonning ushbu Shartnoma boʻyicha oʻz majburiyatlarini bajarish qobiliyatiga taʼsirini baholovchi rasmiy hujjatlar boʻlishi kerak.</w:t>
      </w:r>
    </w:p>
    <w:p>
      <w:pPr>
        <w:jc w:val="both"/>
        <w:ind w:firstLine="709"/>
        <w:spacing w:after="0"/>
      </w:pPr>
      <w:r>
        <w:t xml:space="preserve">5.3. Agar Tomonlar ushbu Shartnomaning 5.2-bandida nazarda tutilgan xabarnomani yubormasa yoki oʻz vaqtida yubormasa, u buning natijasida boshqa Tomonga yetkazilgan zararni qoplashi shart.</w:t>
      </w:r>
    </w:p>
    <w:p>
      <w:pPr>
        <w:jc w:val="both"/>
        <w:ind w:firstLine="709"/>
        <w:spacing w:after="0"/>
      </w:pPr>
      <w:r>
        <w:t xml:space="preserve">5.4. Agar ushbu Shartnomaning 5.1-bandida keltirilib oʻtilgan holatlar va ularning oqibatlari </w:t>
      </w:r>
      <w:r>
        <w:rPr>
          <w:vanish w:val="false"/>
        </w:rPr>
        <w:fldChar w:fldCharType="begin"/>
        <w:instrText xml:space="preserve">X {"Y":35}</w:instrText>
        <w:fldChar w:fldCharType="separate"/>
      </w:r>
      <w:r>
        <w:rPr>
          <w:vanish w:val="false"/>
        </w:rPr>
        <w:t xml:space="preserve">Fors-major holatlarining necha kundan ort-sa, tomonlarning muzokaraga kirishishni boshqa muqobil usullarini tanlashga olib borishi</w:t>
        <w:fldChar w:fldCharType="end"/>
      </w:r>
      <w:r>
        <w:t xml:space="preserve"> kundan ortiq davom etsa, Tomonlar ushbu Shartnomani bajarishning boshqa muqobil usullarini aniqlash uchun qoʻshimcha muzokaralar olib boradilar.</w:t>
      </w:r>
    </w:p>
    <w:p>
      <w:pPr>
        <w:jc w:val="both"/>
        <w:ind w:firstLine="709"/>
        <w:spacing w:after="0"/>
      </w:pPr>
    </w:p>
    <w:p>
      <w:pPr>
        <w:jc w:val="center"/>
        <w:spacing w:after="0"/>
        <w:rPr>
          <w:b/>
        </w:rPr>
      </w:pPr>
      <w:r>
        <w:rPr>
          <w:b/>
        </w:rPr>
        <w:t xml:space="preserve">6. YAKUNIY QOIDALAR</w:t>
      </w:r>
    </w:p>
    <w:p>
      <w:pPr>
        <w:jc w:val="both"/>
        <w:ind w:firstLine="709"/>
        <w:spacing w:after="0"/>
      </w:pPr>
      <w:r>
        <w:t xml:space="preserve">6.1. Tomonlar ushbu Shartnoma shartlarida nazarda tutilmagan boshqa barcha holatlar yuzaga kelganda Oʻzbekiston Respublikasining amaldagi qonunchiligiga amal qiladilar.</w:t>
      </w:r>
    </w:p>
    <w:p>
      <w:pPr>
        <w:jc w:val="both"/>
        <w:ind w:firstLine="709"/>
        <w:spacing w:after="0"/>
      </w:pPr>
      <w:r>
        <w:t xml:space="preserve">6.2. Ushbu Shartnomaga kiritilgan har qanday oʻzgartirish va qoʻshimchalar, agar ular yozma ravishda tuzilgan va Tomonlarning tegishli vakolatli vakillari tomonidan imzolangan boʻlsa, haqiqiy hisoblanadi.</w:t>
      </w:r>
    </w:p>
    <w:p>
      <w:pPr>
        <w:jc w:val="both"/>
        <w:ind w:firstLine="709"/>
        <w:spacing w:after="0"/>
      </w:pPr>
      <w:r>
        <w:t xml:space="preserve">6.3. Ushbu Shartnoma boʻyicha barcha bildirishnomalar va xabarlar Tomonlar tomonidan bir-birlariga yozma ravishda yuborilishi kerak. Xabarnomalar va bildirishnomalar maʼlumotnoma bilan birga buyurtma xati, telegraf, teletayp, telefaks orqali yuborilgan yoki tomonlarning yuridik (pochta) manzillariga shaxsan topshirilgan boʻlsa, toʻgʻri yuborilgan hisoblanadi.</w:t>
      </w:r>
    </w:p>
    <w:p>
      <w:pPr>
        <w:jc w:val="both"/>
        <w:ind w:firstLine="709"/>
        <w:spacing w:after="0"/>
      </w:pPr>
      <w:r>
        <w:t xml:space="preserve">6.4. Ushbu Shartnoma har bir Tomon uchun bir nusxadan, teng yuridik kuchga ega boʻlgan ikki nusxada tuzilgan.</w:t>
      </w:r>
    </w:p>
    <w:p>
      <w:pPr>
        <w:jc w:val="both"/>
        <w:ind w:firstLine="709"/>
        <w:spacing w:after="0"/>
      </w:pPr>
      <w:r>
        <w:t xml:space="preserve">6.5. Ushbu Shartnoma Mol-mulkni topshiruvchi tomonidan mol-mulkni Saqlovchiga topshirgandan soʻng kuchga kiradi va Tomonlar Shartnoma boʻyicha oʻz majburiyatlarini toʻliq bajarmaguncha amal qiladi.</w:t>
      </w:r>
    </w:p>
    <w:p>
      <w:pPr>
        <w:jc w:val="both"/>
        <w:ind w:firstLine="709"/>
        <w:spacing w:after="0"/>
      </w:pPr>
    </w:p>
    <w:p>
      <w:pPr>
        <w:jc w:val="center"/>
        <w:shd w:fill="ffffff"/>
        <w:spacing w:after="0"/>
        <w:rPr>
          <w:b/>
          <w:color w:val="000000"/>
        </w:rPr>
      </w:pPr>
      <w:r>
        <w:rPr>
          <w:b/>
          <w:color w:val="000000"/>
        </w:rPr>
        <w:t xml:space="preserve">7. TARAFLARNING REKVIZITLARI VA IMZOLARI</w:t>
      </w:r>
    </w:p>
    <w:p>
      <w:pPr>
        <w:jc w:val="center"/>
        <w:shd w:fill="ffffff"/>
        <w:spacing w:after="0"/>
        <w:rPr>
          <w:color w:val="000000"/>
        </w:rPr>
      </w:pPr>
    </w:p>
    <w:tbl>
      <w:tblPr>
        <w:tblStyle w:val="a3"/>
        <w:tblW w:w="0" w:type="auto"/>
        <w:tblInd w:w="108"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732"/>
        <w:gridCol w:w="1632"/>
        <w:gridCol w:w="792"/>
        <w:gridCol w:w="2767"/>
        <w:gridCol w:w="1607"/>
      </w:tblGrid>
      <w:tr>
        <w:tc>
          <w:tcPr>
            <w:tcW w:w="4413" w:type="dxa"/>
            <w:gridSpan w:val="2"/>
          </w:tcPr>
          <w:p>
            <w:pPr>
              <w:jc w:val="center"/>
              <w:rPr>
                <w:b/>
              </w:rPr>
            </w:pPr>
            <w:r>
              <w:rPr>
                <w:b/>
                <w:color w:val="000000"/>
              </w:rPr>
              <w:t>Saqlovchi:</w:t>
            </w:r>
          </w:p>
        </w:tc>
        <w:tc>
          <w:tcPr>
            <w:tcW w:w="809" w:type="dxa"/>
          </w:tcPr>
          <w:p>
            <w:pPr>
              <w:rPr>
                <w:b/>
              </w:rPr>
            </w:pPr>
          </w:p>
        </w:tc>
        <w:tc>
          <w:tcPr>
            <w:tcW w:w="4416" w:type="dxa"/>
            <w:gridSpan w:val="2"/>
          </w:tcPr>
          <w:p>
            <w:pPr>
              <w:jc w:val="center"/>
              <w:rPr>
                <w:color w:val="000000"/>
              </w:rPr>
            </w:pPr>
            <w:r>
              <w:rPr>
                <w:b/>
                <w:color w:val="000000"/>
              </w:rPr>
              <w:t xml:space="preserve">Mol-mulk topshiruvchi:</w:t>
            </w:r>
          </w:p>
        </w:tc>
      </w:tr>
      <w:tr>
        <w:trPr>
          <w:trHeight w:val="453"/>
        </w:trPr>
        <w:tc>
          <w:tcPr>
            <w:tcW w:w="4413"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Saqlovchining manzili</w:t>
              <w:fldChar w:fldCharType="end"/>
            </w:r>
          </w:p>
        </w:tc>
        <w:tc>
          <w:tcPr>
            <w:tcW w:w="809" w:type="dxa"/>
          </w:tcPr>
          <w:p>
            <w:pPr>
              <w:rPr>
                <w:b/>
              </w:rPr>
            </w:pPr>
          </w:p>
        </w:tc>
        <w:tc>
          <w:tcPr>
            <w:tcW w:w="4416"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{"Y":18}</w:instrText>
              <w:fldChar w:fldCharType="separate"/>
            </w:r>
            <w:r>
              <w:rPr>
                <w:vanish w:val="false"/>
                <w:color w:val="000000"/>
                <w:rFonts w:ascii="Times New Roman" w:hAnsi="Times New Roman"/>
              </w:rPr>
              <w:t xml:space="preserve">Topshiruvchining manzili</w:t>
              <w:fldChar w:fldCharType="end"/>
            </w:r>
          </w:p>
        </w:tc>
      </w:tr>
      <w:tr>
        <w:trPr>
          <w:trHeight w:val="416"/>
        </w:trPr>
        <w:tc>
          <w:tcPr>
            <w:tcW w:w="4413"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Saqlovchining pul operatsiyalarini amalga oshiruvchi bank nomi</w:t>
              <w:fldChar w:fldCharType="end"/>
            </w:r>
          </w:p>
        </w:tc>
        <w:tc>
          <w:tcPr>
            <w:tcW w:w="809" w:type="dxa"/>
          </w:tcPr>
          <w:p>
            <w:pPr>
              <w:rPr>
                <w:b/>
              </w:rPr>
            </w:pPr>
          </w:p>
        </w:tc>
        <w:tc>
          <w:tcPr>
            <w:tcW w:w="4416"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{"Y":19}</w:instrText>
              <w:fldChar w:fldCharType="separate"/>
            </w:r>
            <w:r>
              <w:rPr>
                <w:vanish w:val="false"/>
                <w:color w:val="000000"/>
                <w:rFonts w:ascii="Times New Roman" w:hAnsi="Times New Roman"/>
              </w:rPr>
              <w:t xml:space="preserve">Topshiruvchining pul operatsiyalarini amalga oshiruvchi bank nomi</w:t>
              <w:fldChar w:fldCharType="end"/>
            </w:r>
          </w:p>
        </w:tc>
      </w:tr>
      <w:tr>
        <w:trPr>
          <w:trHeight w:val="416"/>
        </w:trPr>
        <w:tc>
          <w:tcPr>
            <w:tcW w:w="4413"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Saqlovchining hisob raqami</w:t>
              <w:fldChar w:fldCharType="end"/>
            </w:r>
          </w:p>
        </w:tc>
        <w:tc>
          <w:tcPr>
            <w:tcW w:w="809" w:type="dxa"/>
          </w:tcPr>
          <w:p>
            <w:pPr>
              <w:rPr>
                <w:b/>
              </w:rPr>
            </w:pPr>
          </w:p>
        </w:tc>
        <w:tc>
          <w:tcPr>
            <w:tcW w:w="4416"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{"Y":20}</w:instrText>
              <w:fldChar w:fldCharType="separate"/>
            </w:r>
            <w:r>
              <w:rPr>
                <w:vanish w:val="false"/>
                <w:color w:val="000000"/>
                <w:rFonts w:ascii="Times New Roman" w:hAnsi="Times New Roman"/>
              </w:rPr>
              <w:t xml:space="preserve">Topshiruvchining hisob raqami</w:t>
              <w:fldChar w:fldCharType="end"/>
            </w:r>
          </w:p>
        </w:tc>
      </w:tr>
      <w:tr>
        <w:trPr>
          <w:trHeight w:val="412"/>
        </w:trPr>
        <w:tc>
          <w:tcPr>
            <w:tcW w:w="4413"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{"Y":12}</w:instrText>
              <w:fldChar w:fldCharType="separate"/>
            </w:r>
            <w:r>
              <w:rPr>
                <w:vanish w:val="false"/>
                <w:color w:val="000000"/>
                <w:rFonts w:ascii="Times New Roman" w:hAnsi="Times New Roman"/>
              </w:rPr>
              <w:t xml:space="preserve">Saqlovchining STIR raqami</w:t>
              <w:fldChar w:fldCharType="end"/>
            </w:r>
          </w:p>
        </w:tc>
        <w:tc>
          <w:tcPr>
            <w:tcW w:w="809" w:type="dxa"/>
          </w:tcPr>
          <w:p>
            <w:pPr>
              <w:rPr>
                <w:b/>
              </w:rPr>
            </w:pPr>
          </w:p>
        </w:tc>
        <w:tc>
          <w:tcPr>
            <w:tcW w:w="4416"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{"Y":21}</w:instrText>
              <w:fldChar w:fldCharType="separate"/>
            </w:r>
            <w:r>
              <w:rPr>
                <w:vanish w:val="false"/>
                <w:color w:val="000000"/>
                <w:rFonts w:ascii="Times New Roman" w:hAnsi="Times New Roman"/>
              </w:rPr>
              <w:t xml:space="preserve">Topshiruvchining STIR raqami</w:t>
              <w:fldChar w:fldCharType="end"/>
            </w:r>
          </w:p>
        </w:tc>
      </w:tr>
      <w:tr>
        <w:trPr>
          <w:trHeight w:val="495"/>
        </w:trPr>
        <w:tc>
          <w:tcPr>
            <w:tcW w:w="4413" w:type="dxa"/>
            <w:gridSpan w:val="2"/>
          </w:tcPr>
          <w:p>
            <w:pPr>
              <w:rPr>
                <w:b/>
              </w:rPr>
            </w:pPr>
            <w:r>
              <w:rPr>
                <w:color w:val="000000"/>
              </w:rPr>
              <w:t xml:space="preserve">Telefon: </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Saqlovchining telefon raqami</w:t>
              <w:fldChar w:fldCharType="end"/>
            </w:r>
          </w:p>
        </w:tc>
        <w:tc>
          <w:tcPr>
            <w:tcW w:w="809" w:type="dxa"/>
          </w:tcPr>
          <w:p>
            <w:pPr>
              <w:rPr>
                <w:b/>
              </w:rPr>
            </w:pPr>
          </w:p>
        </w:tc>
        <w:tc>
          <w:tcPr>
            <w:tcW w:w="4416" w:type="dxa"/>
            <w:gridSpan w:val="2"/>
          </w:tcPr>
          <w:p>
            <w:pPr>
              <w:rPr>
                <w:b/>
              </w:rPr>
            </w:pPr>
            <w:r>
              <w:rPr>
                <w:color w:val="000000"/>
              </w:rPr>
              <w:t xml:space="preserve">Telefon: </w:t>
            </w:r>
            <w:r>
              <w:rPr>
                <w:vanish w:val="false"/>
                <w:color w:val="000000"/>
                <w:rFonts w:ascii="Times New Roman" w:hAnsi="Times New Roman"/>
              </w:rPr>
              <w:fldChar w:fldCharType="begin"/>
              <w:instrText xml:space="preserve">X {"Y":22}</w:instrText>
              <w:fldChar w:fldCharType="separate"/>
            </w:r>
            <w:r>
              <w:rPr>
                <w:vanish w:val="false"/>
                <w:color w:val="000000"/>
                <w:rFonts w:ascii="Times New Roman" w:hAnsi="Times New Roman"/>
              </w:rPr>
              <w:t xml:space="preserve">Topshiruvchining telefon raqami</w:t>
              <w:fldChar w:fldCharType="end"/>
            </w:r>
          </w:p>
        </w:tc>
      </w:tr>
      <w:tr>
        <w:tc>
          <w:tcPr>
            <w:tcW w:w="2772" w:type="dxa"/>
          </w:tcPr>
          <w:p>
            <w:r>
              <w:rPr>
                <w:vanish w:val="false"/>
              </w:rPr>
              <w:fldChar w:fldCharType="begin"/>
              <w:instrText xml:space="preserve">X {"Y":8}</w:instrText>
              <w:fldChar w:fldCharType="separate"/>
            </w:r>
            <w:r>
              <w:rPr>
                <w:vanish w:val="false"/>
              </w:rPr>
              <w:t xml:space="preserve">Mol-mulk saqlovchi shaxsning F.I.Sh.i</w:t>
              <w:fldChar w:fldCharType="end"/>
            </w:r>
          </w:p>
        </w:tc>
        <w:tc>
          <w:tcPr>
            <w:tcW w:w="1641" w:type="dxa"/>
          </w:tcPr>
          <w:p>
            <w:r>
              <w:t>________</w:t>
            </w:r>
          </w:p>
          <w:p>
            <w:pPr>
              <w:rPr>
                <w:i/>
              </w:rPr>
            </w:pPr>
            <w:r>
              <w:rPr>
                <w:i/>
              </w:rPr>
              <w:t>Imzo</w:t>
            </w:r>
          </w:p>
        </w:tc>
        <w:tc>
          <w:tcPr>
            <w:tcW w:w="809" w:type="dxa"/>
          </w:tcPr>
          <w:p>
            <w:pPr>
              <w:rPr>
                <w:b/>
              </w:rPr>
            </w:pPr>
          </w:p>
        </w:tc>
        <w:tc>
          <w:tcPr>
            <w:tcW w:w="2801" w:type="dxa"/>
          </w:tcPr>
          <w:p>
            <w:r>
              <w:rPr>
                <w:vanish w:val="false"/>
              </w:rPr>
              <w:fldChar w:fldCharType="begin"/>
              <w:instrText xml:space="preserve">X {"Y":17}</w:instrText>
              <w:fldChar w:fldCharType="separate"/>
            </w:r>
            <w:r>
              <w:rPr>
                <w:vanish w:val="false"/>
              </w:rPr>
              <w:t xml:space="preserve">Mol-mulk topshiruvchi shaxsning F.I.Sh.i</w:t>
              <w:fldChar w:fldCharType="end"/>
            </w:r>
          </w:p>
        </w:tc>
        <w:tc>
          <w:tcPr>
            <w:tcW w:w="1615" w:type="dxa"/>
          </w:tcPr>
          <w:p>
            <w:r>
              <w:t>________</w:t>
            </w:r>
          </w:p>
          <w:p>
            <w:pPr>
              <w:rPr>
                <w:i/>
              </w:rPr>
            </w:pPr>
            <w:r>
              <w:rPr>
                <w:i/>
              </w:rPr>
              <w:t>Imzo</w:t>
            </w:r>
          </w:p>
        </w:tc>
      </w:tr>
      <w:tr>
        <w:tc>
          <w:tcPr>
            <w:tcW w:w="4413" w:type="dxa"/>
            <w:gridSpan w:val="2"/>
          </w:tcPr>
          <w:p>
            <w:pPr>
              <w:jc w:val="center"/>
              <w:rPr>
                <w:i/>
              </w:rPr>
            </w:pPr>
            <w:r>
              <w:rPr>
                <w:i/>
              </w:rPr>
              <w:t>Muhr</w:t>
            </w:r>
          </w:p>
        </w:tc>
        <w:tc>
          <w:tcPr>
            <w:tcW w:w="809" w:type="dxa"/>
          </w:tcPr>
          <w:p>
            <w:pPr>
              <w:rPr>
                <w:b/>
              </w:rPr>
            </w:pPr>
          </w:p>
        </w:tc>
        <w:tc>
          <w:tcPr>
            <w:tcW w:w="4416" w:type="dxa"/>
            <w:gridSpan w:val="2"/>
          </w:tcPr>
          <w:p>
            <w:pPr>
              <w:jc w:val="center"/>
              <w:rPr>
                <w:b/>
              </w:rPr>
            </w:pPr>
            <w:r>
              <w:rPr>
                <w:i/>
              </w:rPr>
              <w:t>Muhr</w:t>
            </w:r>
          </w:p>
        </w:tc>
      </w:tr>
    </w:tbl>
    <w:p>
      <w:pPr>
        <w:jc w:val="both"/>
        <w:spacing w:after="0"/>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764"/>
    <w:rsid w:val="0000053A"/>
    <w:rsid w:val="0000254E"/>
    <w:rsid w:val="0001487C"/>
    <w:rsid w:val="00015629"/>
    <w:rsid w:val="00020BFB"/>
    <w:rsid w:val="000231EE"/>
    <w:rsid w:val="0003181A"/>
    <w:rsid w:val="000338A6"/>
    <w:rsid w:val="00043E13"/>
    <w:rsid w:val="00044764"/>
    <w:rsid w:val="0004724C"/>
    <w:rsid w:val="000570A4"/>
    <w:rsid w:val="000658DD"/>
    <w:rsid w:val="000856FD"/>
    <w:rsid w:val="00092B03"/>
    <w:rsid w:val="00094251"/>
    <w:rsid w:val="000C08C0"/>
    <w:rsid w:val="000C2E3E"/>
    <w:rsid w:val="000C536A"/>
    <w:rsid w:val="000C7BDB"/>
    <w:rsid w:val="000E5FE6"/>
    <w:rsid w:val="000F0EED"/>
    <w:rsid w:val="000F25F5"/>
    <w:rsid w:val="001053FD"/>
    <w:rsid w:val="001217C1"/>
    <w:rsid w:val="001417F0"/>
    <w:rsid w:val="00146855"/>
    <w:rsid w:val="001516FE"/>
    <w:rsid w:val="0015665C"/>
    <w:rsid w:val="001625D7"/>
    <w:rsid w:val="001647A4"/>
    <w:rsid w:val="00184799"/>
    <w:rsid w:val="001847A8"/>
    <w:rsid w:val="001873EF"/>
    <w:rsid w:val="001B3648"/>
    <w:rsid w:val="001C2ADE"/>
    <w:rsid w:val="001C7B21"/>
    <w:rsid w:val="001D53CD"/>
    <w:rsid w:val="001E63A6"/>
    <w:rsid w:val="00203EED"/>
    <w:rsid w:val="0020438F"/>
    <w:rsid w:val="002116C2"/>
    <w:rsid w:val="002202FC"/>
    <w:rsid w:val="00227185"/>
    <w:rsid w:val="00233D71"/>
    <w:rsid w:val="0026341F"/>
    <w:rsid w:val="00287C92"/>
    <w:rsid w:val="002A231C"/>
    <w:rsid w:val="002A25E6"/>
    <w:rsid w:val="002A5F30"/>
    <w:rsid w:val="002B4146"/>
    <w:rsid w:val="002C1B40"/>
    <w:rsid w:val="002D3720"/>
    <w:rsid w:val="002D381F"/>
    <w:rsid w:val="002D47F1"/>
    <w:rsid w:val="002D5773"/>
    <w:rsid w:val="002D5D90"/>
    <w:rsid w:val="002F1A11"/>
    <w:rsid w:val="002F4ED7"/>
    <w:rsid w:val="00301E05"/>
    <w:rsid w:val="003048C2"/>
    <w:rsid w:val="00343BDA"/>
    <w:rsid w:val="003472CA"/>
    <w:rsid w:val="00353B3F"/>
    <w:rsid w:val="003543AF"/>
    <w:rsid w:val="0037137A"/>
    <w:rsid w:val="00373E93"/>
    <w:rsid w:val="00382BB9"/>
    <w:rsid w:val="003A7DE2"/>
    <w:rsid w:val="003C4861"/>
    <w:rsid w:val="003D4A33"/>
    <w:rsid w:val="003E2C0A"/>
    <w:rsid w:val="003E2FFA"/>
    <w:rsid w:val="003E4E7D"/>
    <w:rsid w:val="004019F1"/>
    <w:rsid w:val="00406799"/>
    <w:rsid w:val="004134C3"/>
    <w:rsid w:val="004209DE"/>
    <w:rsid w:val="00420AC9"/>
    <w:rsid w:val="004446CB"/>
    <w:rsid w:val="00446657"/>
    <w:rsid w:val="00452F2E"/>
    <w:rsid w:val="00470D49"/>
    <w:rsid w:val="00471962"/>
    <w:rsid w:val="0047587B"/>
    <w:rsid w:val="00475DA5"/>
    <w:rsid w:val="00487C7B"/>
    <w:rsid w:val="004931A6"/>
    <w:rsid w:val="004A0176"/>
    <w:rsid w:val="004A5E4E"/>
    <w:rsid w:val="004E6EFF"/>
    <w:rsid w:val="004F087C"/>
    <w:rsid w:val="004F1874"/>
    <w:rsid w:val="00500652"/>
    <w:rsid w:val="0050271C"/>
    <w:rsid w:val="005055FB"/>
    <w:rsid w:val="00514BAF"/>
    <w:rsid w:val="005160E9"/>
    <w:rsid w:val="00524665"/>
    <w:rsid w:val="005317B1"/>
    <w:rsid w:val="005325AC"/>
    <w:rsid w:val="00533C90"/>
    <w:rsid w:val="00544DCA"/>
    <w:rsid w:val="0055323C"/>
    <w:rsid w:val="00557C11"/>
    <w:rsid w:val="005638E9"/>
    <w:rsid w:val="0056653E"/>
    <w:rsid w:val="005A08D6"/>
    <w:rsid w:val="005A6A8B"/>
    <w:rsid w:val="005A7C2B"/>
    <w:rsid w:val="005A7C5E"/>
    <w:rsid w:val="005C3963"/>
    <w:rsid w:val="005D04C4"/>
    <w:rsid w:val="005D42AC"/>
    <w:rsid w:val="005D72E4"/>
    <w:rsid w:val="005E0824"/>
    <w:rsid w:val="006067DB"/>
    <w:rsid w:val="00617B24"/>
    <w:rsid w:val="00617D3A"/>
    <w:rsid w:val="00637E01"/>
    <w:rsid w:val="006445BF"/>
    <w:rsid w:val="00654B24"/>
    <w:rsid w:val="00681BA8"/>
    <w:rsid w:val="006837DE"/>
    <w:rsid w:val="00683818"/>
    <w:rsid w:val="00692137"/>
    <w:rsid w:val="006B2E8A"/>
    <w:rsid w:val="006C2B3E"/>
    <w:rsid w:val="006C661A"/>
    <w:rsid w:val="006E1831"/>
    <w:rsid w:val="006E7997"/>
    <w:rsid w:val="006F247C"/>
    <w:rsid w:val="006F4857"/>
    <w:rsid w:val="006F65F7"/>
    <w:rsid w:val="00703066"/>
    <w:rsid w:val="007115FD"/>
    <w:rsid w:val="00726F1B"/>
    <w:rsid w:val="00746418"/>
    <w:rsid w:val="00756C9B"/>
    <w:rsid w:val="00765DF2"/>
    <w:rsid w:val="00773A3C"/>
    <w:rsid w:val="00782B27"/>
    <w:rsid w:val="00792535"/>
    <w:rsid w:val="007937A0"/>
    <w:rsid w:val="007B240C"/>
    <w:rsid w:val="007B2D31"/>
    <w:rsid w:val="007C1360"/>
    <w:rsid w:val="007C312D"/>
    <w:rsid w:val="007C3A6F"/>
    <w:rsid w:val="007D3C1D"/>
    <w:rsid w:val="007E2EE6"/>
    <w:rsid w:val="007E505B"/>
    <w:rsid w:val="007F11B9"/>
    <w:rsid w:val="007F12E7"/>
    <w:rsid w:val="007F6CA6"/>
    <w:rsid w:val="0081182E"/>
    <w:rsid w:val="00811D4B"/>
    <w:rsid w:val="00817D21"/>
    <w:rsid w:val="00827DF6"/>
    <w:rsid w:val="0085208A"/>
    <w:rsid w:val="00864881"/>
    <w:rsid w:val="00866B89"/>
    <w:rsid w:val="008861D8"/>
    <w:rsid w:val="008902A9"/>
    <w:rsid w:val="00890CAB"/>
    <w:rsid w:val="00896818"/>
    <w:rsid w:val="008B193E"/>
    <w:rsid w:val="008B545D"/>
    <w:rsid w:val="008C6565"/>
    <w:rsid w:val="008D3E68"/>
    <w:rsid w:val="008E0DFF"/>
    <w:rsid w:val="008F4893"/>
    <w:rsid w:val="00903921"/>
    <w:rsid w:val="00910870"/>
    <w:rsid w:val="00913D69"/>
    <w:rsid w:val="00931CEC"/>
    <w:rsid w:val="00945D29"/>
    <w:rsid w:val="0094706D"/>
    <w:rsid w:val="00950D24"/>
    <w:rsid w:val="009673DB"/>
    <w:rsid w:val="00975B68"/>
    <w:rsid w:val="00990CBF"/>
    <w:rsid w:val="00993D16"/>
    <w:rsid w:val="00994583"/>
    <w:rsid w:val="0099614A"/>
    <w:rsid w:val="009E6940"/>
    <w:rsid w:val="009E7E7D"/>
    <w:rsid w:val="009F02E2"/>
    <w:rsid w:val="00A05729"/>
    <w:rsid w:val="00A174C1"/>
    <w:rsid w:val="00A23EB7"/>
    <w:rsid w:val="00A258E2"/>
    <w:rsid w:val="00A52759"/>
    <w:rsid w:val="00A646A7"/>
    <w:rsid w:val="00A6629A"/>
    <w:rsid w:val="00A77788"/>
    <w:rsid w:val="00A81ADC"/>
    <w:rsid w:val="00A87FBF"/>
    <w:rsid w:val="00A9147B"/>
    <w:rsid w:val="00AA60C2"/>
    <w:rsid w:val="00AA7639"/>
    <w:rsid w:val="00AB6547"/>
    <w:rsid w:val="00AB7588"/>
    <w:rsid w:val="00AB7A2D"/>
    <w:rsid w:val="00AC3241"/>
    <w:rsid w:val="00AD59C2"/>
    <w:rsid w:val="00AE023A"/>
    <w:rsid w:val="00AE254A"/>
    <w:rsid w:val="00AF3F58"/>
    <w:rsid w:val="00AF44AA"/>
    <w:rsid w:val="00AF75A9"/>
    <w:rsid w:val="00B016A1"/>
    <w:rsid w:val="00B12F8F"/>
    <w:rsid w:val="00B13991"/>
    <w:rsid w:val="00B150C0"/>
    <w:rsid w:val="00B355ED"/>
    <w:rsid w:val="00B42883"/>
    <w:rsid w:val="00B4599F"/>
    <w:rsid w:val="00B565BD"/>
    <w:rsid w:val="00B67405"/>
    <w:rsid w:val="00B760BF"/>
    <w:rsid w:val="00B77628"/>
    <w:rsid w:val="00B806BB"/>
    <w:rsid w:val="00B91469"/>
    <w:rsid w:val="00B96839"/>
    <w:rsid w:val="00BA2CE6"/>
    <w:rsid w:val="00BB7EA4"/>
    <w:rsid w:val="00BD2A90"/>
    <w:rsid w:val="00BE4347"/>
    <w:rsid w:val="00BF47DF"/>
    <w:rsid w:val="00C03158"/>
    <w:rsid w:val="00C10ECD"/>
    <w:rsid w:val="00C146D5"/>
    <w:rsid w:val="00C15762"/>
    <w:rsid w:val="00C177F9"/>
    <w:rsid w:val="00C24E70"/>
    <w:rsid w:val="00C36281"/>
    <w:rsid w:val="00C37E54"/>
    <w:rsid w:val="00C4200C"/>
    <w:rsid w:val="00C51504"/>
    <w:rsid w:val="00C6177D"/>
    <w:rsid w:val="00C71E7E"/>
    <w:rsid w:val="00CB469E"/>
    <w:rsid w:val="00CC536C"/>
    <w:rsid w:val="00CD16E1"/>
    <w:rsid w:val="00CD7A07"/>
    <w:rsid w:val="00CE1907"/>
    <w:rsid w:val="00CF4981"/>
    <w:rsid w:val="00D1311F"/>
    <w:rsid w:val="00D147C3"/>
    <w:rsid w:val="00D2683F"/>
    <w:rsid w:val="00D30473"/>
    <w:rsid w:val="00D3490F"/>
    <w:rsid w:val="00D34E55"/>
    <w:rsid w:val="00D4523B"/>
    <w:rsid w:val="00D54908"/>
    <w:rsid w:val="00D653A6"/>
    <w:rsid w:val="00D73ED0"/>
    <w:rsid w:val="00D86EE6"/>
    <w:rsid w:val="00D97713"/>
    <w:rsid w:val="00DA3EED"/>
    <w:rsid w:val="00DB5675"/>
    <w:rsid w:val="00DB7A28"/>
    <w:rsid w:val="00DC7C89"/>
    <w:rsid w:val="00DE79D0"/>
    <w:rsid w:val="00DE7AAB"/>
    <w:rsid w:val="00DF4ECD"/>
    <w:rsid w:val="00E00F31"/>
    <w:rsid w:val="00E052CE"/>
    <w:rsid w:val="00E204D0"/>
    <w:rsid w:val="00E32723"/>
    <w:rsid w:val="00E3700D"/>
    <w:rsid w:val="00E4072A"/>
    <w:rsid w:val="00E62CAA"/>
    <w:rsid w:val="00E8393F"/>
    <w:rsid w:val="00E944AE"/>
    <w:rsid w:val="00EA15E1"/>
    <w:rsid w:val="00EA440F"/>
    <w:rsid w:val="00EB186D"/>
    <w:rsid w:val="00EC6EEA"/>
    <w:rsid w:val="00ED0706"/>
    <w:rsid w:val="00EE3AF0"/>
    <w:rsid w:val="00EF7A33"/>
    <w:rsid w:val="00F1040A"/>
    <w:rsid w:val="00F15D2C"/>
    <w:rsid w:val="00F202D2"/>
    <w:rsid w:val="00F20F59"/>
    <w:rsid w:val="00F30BB1"/>
    <w:rsid w:val="00F33E20"/>
    <w:rsid w:val="00F40033"/>
    <w:rsid w:val="00F40A6D"/>
    <w:rsid w:val="00F41069"/>
    <w:rsid w:val="00F429F9"/>
    <w:rsid w:val="00F44EEE"/>
    <w:rsid w:val="00F52E2E"/>
    <w:rsid w:val="00F65809"/>
    <w:rsid w:val="00F72427"/>
    <w:rsid w:val="00F73820"/>
    <w:rsid w:val="00F8379F"/>
    <w:rsid w:val="00F85931"/>
    <w:rsid w:val="00F95DD9"/>
    <w:rsid w:val="00FA4C1C"/>
    <w:rsid w:val="00FB18FD"/>
    <w:rsid w:val="00FB26A1"/>
    <w:rsid w:val="00FC2C78"/>
    <w:rsid w:val="00FC36C5"/>
    <w:rsid w:val="00FD77C1"/>
    <w:rsid w:val="00FF3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C8BA66-970F-4E70-830D-F21F76C02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4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868788">
      <w:bodyDiv w:val="1"/>
      <w:marLeft w:val="0"/>
      <w:marRight w:val="0"/>
      <w:marTop w:val="0"/>
      <w:marBottom w:val="0"/>
      <w:divBdr>
        <w:top w:val="none" w:sz="0" w:space="0" w:color="auto"/>
        <w:left w:val="none" w:sz="0" w:space="0" w:color="auto"/>
        <w:bottom w:val="none" w:sz="0" w:space="0" w:color="auto"/>
        <w:right w:val="none" w:sz="0" w:space="0" w:color="auto"/>
      </w:divBdr>
    </w:div>
    <w:div w:id="53604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2278</Words>
  <Characters>12991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YB</dc:creator>
  <cp:lastModifiedBy>Shakarboy Goyibnazarov</cp:lastModifiedBy>
  <cp:revision>2</cp:revision>
  <dcterms:created xsi:type="dcterms:W3CDTF">2022-08-23T12:47:00Z</dcterms:created>
  <dcterms:modified xsi:type="dcterms:W3CDTF">2022-08-23T12:47:00Z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Saqlovchi</w:name>
    <w:value w:hidden="true">
      <w:unit w:active="false"/>
    </w:value>
  </w:element>
  <w:element w:id="6" w:kind="variable" w:selector="check" w:type="string" w:valueMode="normal" w:required="false" w:groupID="5">
    <w:identifier xml:space="preserve">ID6</w:identifier>
    <w:name xml:space="preserve">Mol-mulkni saqlovchi yuridik shaxsning to‘liq nomi</w:name>
    <w:value w:hidden="false">
      <w:unit w:active="false"/>
    </w:value>
  </w:element>
  <w:element w:id="7" w:kind="variable" w:selector="check" w:type="string" w:valueMode="normal" w:required="false" w:groupID="5">
    <w:identifier xml:space="preserve">ID7</w:identifier>
    <w:name xml:space="preserve">Mol-mulkni saqlovchiga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Mol-mulk saqlovchi shaxsning F.I.Sh.i</w:name>
    <w:value w:hidden="false">
      <w:unit w:active="false"/>
    </w:value>
  </w:element>
  <w:element w:id="9" w:kind="variable" w:selector="check" w:type="string" w:valueMode="normal" w:required="false" w:groupID="5">
    <w:identifier xml:space="preserve">ID9</w:identifier>
    <w:name xml:space="preserve">Saqlovchining manzili</w:name>
    <w:value w:hidden="false">
      <w:unit w:active="false"/>
    </w:value>
  </w:element>
  <w:element w:id="10" w:kind="variable" w:selector="check" w:type="string" w:valueMode="normal" w:required="false" w:groupID="5">
    <w:identifier xml:space="preserve">ID10</w:identifier>
    <w:name xml:space="preserve">Saqlovchining pul operatsiyalarini amalga oshiruvchi bank nomi</w:name>
    <w:value w:hidden="false">
      <w:unit w:active="false"/>
    </w:value>
  </w:element>
  <w:element w:id="11" w:kind="variable" w:selector="check" w:type="string" w:valueMode="normal" w:required="false" w:groupID="5">
    <w:identifier xml:space="preserve">ID11</w:identifier>
    <w:name xml:space="preserve">Saqlovchining hisob raqami</w:name>
    <w:value w:hidden="false">
      <w:unit w:active="false"/>
    </w:value>
  </w:element>
  <w:element w:id="12" w:kind="variable" w:selector="check" w:type="string" w:valueMode="normal" w:required="false" w:groupID="5">
    <w:identifier xml:space="preserve">ID12</w:identifier>
    <w:name xml:space="preserve">Saqlovchining STIR raqami</w:name>
    <w:value w:hidden="false">
      <w:unit w:active="false"/>
    </w:value>
  </w:element>
  <w:element w:id="13" w:kind="variable" w:selector="check" w:type="string" w:valueMode="normal" w:required="false" w:groupID="5">
    <w:identifier xml:space="preserve">ID13</w:identifier>
    <w:name xml:space="preserve">Saqlovchining telefon raqami</w:name>
    <w:value w:hidden="false">
      <w:unit w:active="false"/>
    </w:value>
  </w:element>
  <w:element w:id="14" w:kind="category" w:selector="check" w:type="string" w:valueMode="normal" w:required="false">
    <w:identifier xml:space="preserve">ID14</w:identifier>
    <w:name xml:space="preserve">Mol-mulk topshiruvchi</w:name>
    <w:value w:hidden="true">
      <w:unit w:active="false"/>
    </w:value>
  </w:element>
  <w:element w:id="15" w:kind="variable" w:selector="check" w:type="string" w:valueMode="normal" w:required="false" w:groupID="14">
    <w:identifier xml:space="preserve">ID15</w:identifier>
    <w:name xml:space="preserve">Mol-mulk topshiruvchi yuridik shaxsning to‘liq nomi</w:name>
    <w:value w:hidden="false">
      <w:unit w:active="false"/>
    </w:value>
  </w:element>
  <w:element w:id="16" w:kind="variable" w:selector="check" w:type="string" w:valueMode="normal" w:required="false" w:groupID="14">
    <w:identifier xml:space="preserve">ID16</w:identifier>
    <w:name xml:space="preserve">Mol-mulkni topshiruvchiga shartnoma tuzish huquqini beruvchi hujjat</w:name>
    <w:comment xml:space="preserve">Masalan: Ustav, Nizom yoki ishonchnoma</w:comment>
    <w:value w:hidden="false">
      <w:unit w:active="false"/>
    </w:value>
  </w:element>
  <w:element w:id="17" w:kind="variable" w:selector="check" w:type="string" w:valueMode="normal" w:required="false" w:groupID="14">
    <w:identifier xml:space="preserve">ID17</w:identifier>
    <w:name xml:space="preserve">Mol-mulk topshiruvchi shaxsning F.I.Sh.i</w:name>
    <w:value w:hidden="false">
      <w:unit w:active="false"/>
    </w:value>
  </w:element>
  <w:element w:id="18" w:kind="variable" w:selector="check" w:type="string" w:valueMode="normal" w:required="false" w:groupID="14">
    <w:identifier xml:space="preserve">ID18</w:identifier>
    <w:name xml:space="preserve">Topshiruvchining manzili</w:name>
    <w:value w:hidden="false">
      <w:unit w:active="false"/>
    </w:value>
  </w:element>
  <w:element w:id="19" w:kind="variable" w:selector="check" w:type="string" w:valueMode="normal" w:required="false" w:groupID="14">
    <w:identifier xml:space="preserve">ID19</w:identifier>
    <w:name xml:space="preserve">Topshiruvchining pul operatsiyalarini amalga oshiruvchi bank nomi</w:name>
    <w:value w:hidden="false">
      <w:unit w:active="false"/>
    </w:value>
  </w:element>
  <w:element w:id="20" w:kind="variable" w:selector="check" w:type="string" w:valueMode="normal" w:required="false" w:groupID="14">
    <w:identifier xml:space="preserve">ID20</w:identifier>
    <w:name xml:space="preserve">Topshiruvchining hisob raqami</w:name>
    <w:value w:hidden="false">
      <w:unit w:active="false"/>
    </w:value>
  </w:element>
  <w:element w:id="21" w:kind="variable" w:selector="check" w:type="string" w:valueMode="normal" w:required="false" w:groupID="14">
    <w:identifier xml:space="preserve">ID21</w:identifier>
    <w:name xml:space="preserve">Topshiruvchining STIR raqami</w:name>
    <w:value w:hidden="false">
      <w:unit w:active="false"/>
    </w:value>
  </w:element>
  <w:element w:id="22" w:kind="variable" w:selector="check" w:type="string" w:valueMode="normal" w:required="false" w:groupID="14">
    <w:identifier xml:space="preserve">ID22</w:identifier>
    <w:name xml:space="preserve">Topshiruvchining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Mol-mulkni saqlash muddati</w:name>
    <w:value w:hidden="false">
      <w:unit w:active="false"/>
    </w:value>
  </w:element>
  <w:element w:id="25" w:kind="variable" w:selector="check" w:type="string" w:valueMode="normal" w:required="false" w:groupID="23">
    <w:identifier xml:space="preserve">ID25</w:identifier>
    <w:name xml:space="preserve">Topshirilayotgan mol-mulk yoki ashyoning nomi, uning xususiyatlari va boshqalar</w:name>
    <w:value w:hidden="false">
      <w:unit w:active="false"/>
    </w:value>
  </w:element>
  <w:element w:id="26" w:kind="variable" w:selector="check" w:type="string" w:valueMode="normal" w:required="false" w:groupID="23">
    <w:identifier xml:space="preserve">ID26</w:identifier>
    <w:name xml:space="preserve">Mol-mulkni saqlash bo‘yicha boshqa majburiyatlari</w:name>
    <w:value w:hidden="false">
      <w:unit w:active="false"/>
    </w:value>
  </w:element>
  <w:element w:id="27" w:kind="variable" w:selector="check" w:type="string" w:valueMode="normal" w:required="false" w:groupID="23">
    <w:identifier xml:space="preserve">ID27</w:identifier>
    <w:name xml:space="preserve">Mol-mulkni saqlashning choralari</w:name>
    <w:value w:hidden="false">
      <w:unit w:active="false"/>
    </w:value>
  </w:element>
  <w:element w:id="28" w:kind="variable" w:selector="check" w:type="string" w:valueMode="normal" w:required="false" w:groupID="23">
    <w:identifier xml:space="preserve">ID28</w:identifier>
    <w:name xml:space="preserve">Mol-mulkni saqlash bo‘yicha qo‘shimcha choralar</w:name>
    <w:value w:hidden="false">
      <w:unit w:active="false"/>
    </w:value>
  </w:element>
  <w:element w:id="29" w:kind="variable" w:selector="check" w:type="string" w:valueMode="normal" w:required="false" w:groupID="23">
    <w:identifier xml:space="preserve">ID29</w:identifier>
    <w:name xml:space="preserve">Mol-mulk topshiruvchining boshqa majburiyatlari</w:name>
    <w:value w:hidden="false">
      <w:unit w:active="false"/>
    </w:value>
  </w:element>
  <w:element w:id="30" w:kind="variable" w:selector="check" w:type="string" w:valueMode="normal" w:required="false" w:groupID="23">
    <w:identifier xml:space="preserve">ID30</w:identifier>
    <w:name xml:space="preserve">Mol-mulk topshiriladigan manzilning to‘liq nomi</w:name>
    <w:value w:hidden="false">
      <w:unit w:active="false"/>
    </w:value>
  </w:element>
  <w:element w:id="31" w:kind="variable" w:selector="check" w:type="string" w:valueMode="normal" w:required="false" w:groupID="23">
    <w:identifier xml:space="preserve">ID31</w:identifier>
    <w:name xml:space="preserve">Mol-mulkni saqlaganlik uchun to‘lov summasi miqdori — dastlab sonlar bilan keyin so‘zlar bilan yozilishi kerak</w:name>
    <w:value w:hidden="false">
      <w:unit w:active="false"/>
    </w:value>
  </w:element>
  <w:element w:id="32" w:kind="variable" w:selector="check" w:type="string" w:valueMode="normal" w:required="false" w:groupID="23">
    <w:identifier xml:space="preserve">ID32</w:identifier>
    <w:name xml:space="preserve">Teng qismlarda to‘lanadigan summa miqdori</w:name>
    <w:value w:hidden="false">
      <w:unit w:active="false"/>
    </w:value>
  </w:element>
  <w:element w:id="34" w:kind="variable" w:selector="check" w:type="string" w:valueMode="normal" w:required="false" w:groupID="23">
    <w:identifier xml:space="preserve">ID34</w:identifier>
    <w:name xml:space="preserve">To‘lanmagan summa uchun penyaning foizdagi miqdori</w:name>
    <w:value w:hidden="false">
      <w:unit w:active="false"/>
    </w:value>
  </w:element>
  <w:element w:id="35" w:kind="variable" w:selector="check" w:type="string" w:valueMode="normal" w:required="false" w:groupID="23">
    <w:identifier xml:space="preserve">ID35</w:identifier>
    <w:name xml:space="preserve">Fors-major holatlarining necha kundan ort-sa, tomonlarning muzokaraga kirishishni boshqa muqobil usullarini tanlashga olib borishi</w:name>
    <w:value w:hidden="false">
      <w:unit w:active="false"/>
    </w:value>
  </w:element>
</w:structure>
</file>