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4"/>
        <w:gridCol w:w="4791"/>
      </w:tblGrid>
      <w:tr>
        <w:tc>
          <w:tcPr>
            <w:tcW w:w="4691" w:type="dxa"/>
            <w:shd w:fill="auto"/>
          </w:tcPr>
          <w:p>
            <w:pPr>
              <w:spacing w:after="0"/>
              <w:rPr>
                <w:color w:val="000000"/>
                <w:sz w:val="28"/>
                <w:rFonts w:ascii="Times New Roman" w:hAnsi="Times New Roman"/>
              </w:rPr>
            </w:pPr>
          </w:p>
        </w:tc>
        <w:tc>
          <w:tcPr>
            <w:tcW w:w="4880" w:type="dxa"/>
            <w:shd w:fill="auto"/>
          </w:tcPr>
          <w:p>
            <w:pPr>
              <w:jc w:val="both"/>
              <w:ind w:firstLine="0"/>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t xml:space="preserve">Ariza berilgan fuqarolik sudi nomi</w:t>
            </w:r>
            <w:r>
              <w:rPr>
                <w:b/>
                <w:vanish w:val="false"/>
                <w:color w:val="000000"/>
                <w:sz w:val="28"/>
                <w:rFonts w:ascii="Times New Roman" w:hAnsi="Times New Roman"/>
              </w:rPr>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t xml:space="preserve">Da’vogarning manzili</w:t>
            </w:r>
            <w:r>
              <w:rPr>
                <w:vanish w:val="false"/>
                <w:color w:val="000000"/>
                <w:sz w:val="28"/>
                <w:rFonts w:ascii="Times New Roman" w:hAnsi="Times New Roman"/>
              </w:rPr>
              <w:fldChar w:fldCharType="end"/>
            </w:r>
            <w:r>
              <w:rPr>
                <w:color w:val="000000"/>
                <w:sz w:val="28"/>
                <w:rFonts w:ascii="Times New Roman" w:hAnsi="Times New Roman"/>
              </w:rPr>
              <w:t xml:space="preserve">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Da’vogar shaxsning F.I.O.si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t xml:space="preserve">Da’vogar tarafning telefon raqami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t xml:space="preserve">Da’vogar tarafning elektron pochta manzili</w:t>
            </w:r>
            <w:r>
              <w:rPr>
                <w:vanish w:val="false"/>
                <w:color w:val="000000"/>
                <w:sz w:val="28"/>
                <w:rFonts w:ascii="Times New Roman" w:hAnsi="Times New Roman"/>
              </w:rPr>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{"Y":10}</w:instrText>
              <w:fldChar w:fldCharType="separate"/>
              <w:t xml:space="preserve">Javobgarning manzili</w:t>
            </w:r>
            <w:r>
              <w:rPr>
                <w:vanish w:val="false"/>
                <w:color w:val="000000"/>
                <w:sz w:val="28"/>
                <w:rFonts w:ascii="Times New Roman" w:hAnsi="Times New Roman"/>
              </w:rPr>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t xml:space="preserve">Javobgarning F.I.Sh.i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t xml:space="preserve">Javobgarning telefon raqami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t xml:space="preserve">Javobgarning elektron pochta manzili</w:t>
            </w:r>
            <w:r>
              <w:rPr>
                <w:vanish w:val="false"/>
                <w:color w:val="000000"/>
                <w:sz w:val="28"/>
                <w:rFonts w:ascii="Times New Roman" w:hAnsi="Times New Roman"/>
              </w:rPr>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Fuqaroligi bo‘lmagan shaxsga tegishli bo‘lgan </w:t>
            </w:r>
            <w:r>
              <w:rPr>
                <w:vanish w:val="false"/>
                <w:sz w:val="28"/>
                <w:rFonts w:ascii="Times New Roman" w:hAnsi="Times New Roman"/>
              </w:rPr>
              <w:fldChar w:fldCharType="begin"/>
              <w:instrText xml:space="preserve">X {"Y":15}</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mol-mulkni xatlovdan chiqarish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r>
        <w:rPr>
          <w:sz w:val="28"/>
          <w:rFonts w:ascii="Times New Roman" w:hAnsi="Times New Roman"/>
        </w:rPr>
        <w:t xml:space="preserve">(Mol-mulkni xatlovdan chiqarish to‘g‘risida) </w:t>
      </w:r>
    </w:p>
    <w:p>
      <w:pPr>
        <w:pStyle w:val="ConsPlusNonformat"/>
        <w:jc w:val="both"/>
        <w:spacing w:line="276" w:lineRule="auto"/>
        <w:rPr>
          <w:sz w:val="28"/>
          <w:rFonts w:ascii="Times New Roman" w:hAnsi="Times New Roman"/>
        </w:rPr>
      </w:pPr>
    </w:p>
    <w:p>
      <w:pPr>
        <w:pStyle w:val="ConsPlusNonformat"/>
        <w:jc w:val="both"/>
        <w:spacing w:line="276" w:lineRule="auto"/>
        <w:rPr>
          <w:sz w:val="28"/>
          <w:rFonts w:ascii="Times New Roman" w:hAnsi="Times New Roman"/>
        </w:rPr>
      </w:pPr>
      <w:r>
        <w:rPr>
          <w:sz w:val="28"/>
          <w:rFonts w:ascii="Times New Roman" w:hAnsi="Times New Roman"/>
        </w:rPr>
        <w:tab/>
      </w:r>
      <w:r>
        <w:rPr>
          <w:vanish w:val="false"/>
          <w:sz w:val="28"/>
          <w:rFonts w:ascii="Times New Roman" w:hAnsi="Times New Roman"/>
        </w:rPr>
        <w:fldChar w:fldCharType="begin"/>
        <w:instrText xml:space="preserve">X {"Y":17}</w:instrText>
        <w:fldChar w:fldCharType="separate"/>
        <w:t xml:space="preserve">Da’vogarning mol-mulklarini xatlashga asos bo‘lgan sud qarorini qabul qilgan sud nomi</w:t>
      </w:r>
      <w:r>
        <w:rPr>
          <w:vanish w:val="false"/>
          <w:sz w:val="28"/>
          <w:rFonts w:ascii="Times New Roman" w:hAnsi="Times New Roman"/>
        </w:rPr>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{"Y":18}</w:instrText>
        <w:fldChar w:fldCharType="separate"/>
        <w:t xml:space="preserve">Da’vogarning mol-mulklarini xatlashga asos bo‘lgan sud qarori qabul qilgan sana</w:t>
      </w:r>
      <w:r>
        <w:rPr>
          <w:vanish w:val="false"/>
          <w:sz w:val="28"/>
          <w:rFonts w:ascii="Times New Roman" w:hAnsi="Times New Roman"/>
        </w:rPr>
        <w:fldChar w:fldCharType="end"/>
      </w:r>
      <w:r>
        <w:rPr>
          <w:sz w:val="28"/>
          <w:rFonts w:ascii="Times New Roman" w:hAnsi="Times New Roman"/>
        </w:rPr>
        <w:t xml:space="preserve"> kunidagi qarori bilan </w:t>
      </w:r>
      <w:r>
        <w:rPr>
          <w:vanish w:val="false"/>
          <w:sz w:val="28"/>
          <w:rFonts w:ascii="Times New Roman" w:hAnsi="Times New Roman"/>
        </w:rPr>
        <w:fldChar w:fldCharType="begin"/>
        <w:instrText xml:space="preserve">X {"Y":19}</w:instrText>
        <w:fldChar w:fldCharType="separate"/>
        <w:t xml:space="preserve">Da’vogarning mol-mulklarini xatlashga asos bo‘lgan sud qarorining qisqacha mazmuni</w:t>
      </w:r>
      <w:r>
        <w:rPr>
          <w:vanish w:val="false"/>
          <w:sz w:val="28"/>
          <w:rFonts w:ascii="Times New Roman" w:hAnsi="Times New Roman"/>
        </w:rPr>
        <w:fldChar w:fldCharType="end"/>
      </w:r>
      <w:r>
        <w:rPr>
          <w:sz w:val="28"/>
          <w:rFonts w:ascii="Times New Roman" w:hAnsi="Times New Roman"/>
        </w:rPr>
        <w:t xml:space="preserve"> belgilangan. Mazkur qarordan kelib chiqqan holda majburiy ijro byurosi </w:t>
      </w:r>
      <w:r>
        <w:rPr>
          <w:vanish w:val="false"/>
          <w:sz w:val="28"/>
          <w:rFonts w:ascii="Times New Roman" w:hAnsi="Times New Roman"/>
        </w:rPr>
        <w:fldChar w:fldCharType="begin"/>
        <w:instrText xml:space="preserve">X {"Y":15}</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bo‘limining </w:t>
      </w:r>
      <w:r>
        <w:rPr>
          <w:vanish w:val="false"/>
          <w:sz w:val="28"/>
          <w:rFonts w:ascii="Times New Roman" w:hAnsi="Times New Roman"/>
        </w:rPr>
        <w:fldChar w:fldCharType="begin"/>
        <w:instrText xml:space="preserve">X {"Y":16}</w:instrText>
        <w:fldChar w:fldCharType="separate"/>
        <w:t xml:space="preserve">Da’vogarning mol-mulklarini xatlash to‘g‘risida MIB tomonidan qaror qabul qilingan sana</w:t>
      </w:r>
      <w:r>
        <w:rPr>
          <w:vanish w:val="false"/>
          <w:sz w:val="28"/>
          <w:rFonts w:ascii="Times New Roman" w:hAnsi="Times New Roman"/>
        </w:rPr>
        <w:fldChar w:fldCharType="end"/>
      </w:r>
      <w:r>
        <w:rPr>
          <w:sz w:val="28"/>
          <w:rFonts w:ascii="Times New Roman" w:hAnsi="Times New Roman"/>
        </w:rPr>
        <w:t xml:space="preserve"> yildagi qarori bilan menga tegishli bo‘lgan </w:t>
      </w:r>
      <w:r>
        <w:rPr>
          <w:vanish w:val="false"/>
          <w:sz w:val="28"/>
          <w:rFonts w:ascii="Times New Roman" w:hAnsi="Times New Roman"/>
        </w:rPr>
        <w:fldChar w:fldCharType="begin"/>
        <w:instrText xml:space="preserve">X {"Y":20}</w:instrText>
        <w:fldChar w:fldCharType="separate"/>
        <w:t xml:space="preserve">Da’vogarning xatlovga olingan mol-mulklari nomi va soni</w:t>
      </w:r>
      <w:r>
        <w:rPr>
          <w:vanish w:val="false"/>
          <w:sz w:val="28"/>
          <w:rFonts w:ascii="Times New Roman" w:hAnsi="Times New Roman"/>
        </w:rPr>
        <w:fldChar w:fldCharType="end"/>
      </w:r>
      <w:r>
        <w:rPr>
          <w:sz w:val="28"/>
          <w:rFonts w:ascii="Times New Roman" w:hAnsi="Times New Roman"/>
        </w:rPr>
        <w:t xml:space="preserve"> kabi mol-mulklarim xatlovga olingan. </w:t>
      </w:r>
    </w:p>
    <w:p>
      <w:pPr>
        <w:jc w:val="both"/>
        <w:shd w:fill="ffffff"/>
        <w:ind w:firstLine="851"/>
        <w:spacing w:after="0"/>
        <w:rPr>
          <w:color w:val="000000"/>
          <w:sz w:val="28"/>
          <w:rFonts w:ascii="Times New Roman" w:hAnsi="Times New Roman"/>
        </w:rPr>
      </w:pPr>
      <w:r>
        <w:rPr>
          <w:sz w:val="28"/>
          <w:rFonts w:ascii="Times New Roman" w:hAnsi="Times New Roman"/>
        </w:rPr>
        <w:t xml:space="preserve">O‘zbekiston Respublikasi FKning 164-moddasiga ko‘ra, </w:t>
      </w:r>
      <w:bookmarkStart w:id="0" w:name="153810"/>
      <w:r>
        <w:rPr>
          <w:sz w:val="28"/>
          <w:rFonts w:ascii="Times New Roman" w:hAnsi="Times New Roman"/>
        </w:rPr>
        <w:t>m</w:t>
      </w:r>
      <w:r>
        <w:rPr>
          <w:color w:val="000000"/>
          <w:sz w:val="28"/>
          <w:rFonts w:ascii="Times New Roman" w:hAnsi="Times New Roman"/>
        </w:rPr>
        <w:t xml:space="preserve">ulk huquqi shaxsning o‘ziga qarashli mol-mulkka o‘z xohishi bilan va o‘z manfaatlarini ko‘zlab egalik qilish, undan foydalanish va uni tasarruf etish, shuningdek o‘zining mulk huquqini, kim tomonidan bo‘lmasin, har qanday buzishni bartaraf etishni talab qilish huquqidan iboratdir. Mulk huquqi muddatsizdir</w:t>
      </w:r>
      <w:r>
        <w:rPr>
          <w:color w:val="000000"/>
          <w:sz w:val="28"/>
          <w:rFonts w:ascii="Times New Roman" w:hAnsi="Times New Roman"/>
        </w:rPr>
        <w:t>.</w:t>
      </w:r>
      <w:bookmarkEnd w:id="0"/>
    </w:p>
    <w:p>
      <w:pPr>
        <w:jc w:val="both"/>
        <w:ind w:firstLine="851"/>
        <w:spacing w:after="0"/>
        <w:rPr>
          <w:color w:val="000000"/>
          <w:sz w:val="28"/>
          <w:rFonts w:ascii="Times New Roman" w:hAnsi="Times New Roman"/>
        </w:rPr>
      </w:pPr>
      <w:r>
        <w:rPr>
          <w:sz w:val="28"/>
          <w:rFonts w:ascii="Times New Roman" w:hAnsi="Times New Roman"/>
        </w:rPr>
        <w:t xml:space="preserve">Mazkur Kodeksning 166-moddasiga ko‘ra, m</w:t>
      </w:r>
      <w:r>
        <w:rPr>
          <w:color w:val="000000"/>
          <w:sz w:val="28"/>
          <w:rFonts w:ascii="Times New Roman" w:hAnsi="Times New Roman"/>
        </w:rPr>
        <w:t xml:space="preserve">ulk daxlsizdir va qonun bilan qo‘riqlanadi. Mulkning daxlsizligi mulkdorga qarshi turgan barcha sub’ektlarning mulk huquqini buzishdan o‘zlarini saqlashlaridan iboratdir.</w:t>
      </w:r>
    </w:p>
    <w:p>
      <w:pPr>
        <w:pStyle w:val="ConsPlusNonformat"/>
        <w:jc w:val="both"/>
        <w:ind w:firstLine="708"/>
        <w:spacing w:line="276" w:lineRule="auto"/>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{"Y":21}</w:instrText>
        <w:fldChar w:fldCharType="separate"/>
        <w:t xml:space="preserve">Da’vogarning mol-mulklarini xatlovdan chiqarish uchun asos bo‘luvchi holatlar</w:t>
      </w:r>
      <w:r>
        <w:rPr>
          <w:vanish w:val="false"/>
          <w:sz w:val="28"/>
          <w:rFonts w:ascii="Times New Roman" w:hAnsi="Times New Roman"/>
        </w:rPr>
        <w:fldChar w:fldCharType="end"/>
      </w:r>
      <w:r>
        <w:rPr>
          <w:sz w:val="28"/>
          <w:rFonts w:ascii="Times New Roman" w:hAnsi="Times New Roman"/>
        </w:rPr>
        <w:t xml:space="preserve"> kabi sabablarga ko‘ra menining mol-mulklarim noqonuniy ravishda xatlangan deb xisoblayman.</w:t>
      </w:r>
    </w:p>
    <w:p>
      <w:pPr>
        <w:pStyle w:val="ConsPlusNonformat"/>
        <w:jc w:val="both"/>
        <w:ind w:firstLine="684"/>
        <w:spacing w:line="276" w:lineRule="auto"/>
        <w:rPr>
          <w:sz w:val="28"/>
          <w:rFonts w:ascii="Times New Roman" w:hAnsi="Times New Roman"/>
        </w:rPr>
      </w:pPr>
      <w:r>
        <w:rPr>
          <w:sz w:val="28"/>
          <w:rFonts w:ascii="Times New Roman" w:hAnsi="Times New Roman"/>
        </w:rPr>
        <w:t xml:space="preserve">Yuqoridagilarni inobatga olib, majburiy ijro byurosi </w:t>
      </w:r>
      <w:r>
        <w:rPr>
          <w:vanish w:val="false"/>
          <w:sz w:val="28"/>
          <w:rFonts w:ascii="Times New Roman" w:hAnsi="Times New Roman"/>
        </w:rPr>
        <w:fldChar w:fldCharType="begin"/>
        <w:instrText xml:space="preserve">X {"Y":15}</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bo‘limining mening mol-mulklarimni xatlashga oid </w:t>
      </w:r>
      <w:r>
        <w:rPr>
          <w:vanish w:val="false"/>
          <w:sz w:val="28"/>
          <w:rFonts w:ascii="Times New Roman" w:hAnsi="Times New Roman"/>
        </w:rPr>
        <w:fldChar w:fldCharType="begin"/>
        <w:instrText xml:space="preserve">X {"Y":16}</w:instrText>
        <w:fldChar w:fldCharType="separate"/>
        <w:t xml:space="preserve">Da’vogarning mol-mulklarini xatlash to‘g‘risida MIB tomonidan qaror qabul qilingan sana</w:t>
      </w:r>
      <w:r>
        <w:rPr>
          <w:vanish w:val="false"/>
          <w:sz w:val="28"/>
          <w:rFonts w:ascii="Times New Roman" w:hAnsi="Times New Roman"/>
        </w:rPr>
        <w:fldChar w:fldCharType="end"/>
      </w:r>
      <w:r>
        <w:rPr>
          <w:sz w:val="28"/>
          <w:rFonts w:ascii="Times New Roman" w:hAnsi="Times New Roman"/>
        </w:rPr>
        <w:t xml:space="preserve"> yildagi qarorini haqiqiy emas deb topib, xatlovdan chiqarish lozim bo‘ladi. </w:t>
      </w:r>
    </w:p>
    <w:p>
      <w:pPr>
        <w:jc w:val="both"/>
        <w:ind w:firstLine="684"/>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w:t>
      </w:r>
      <w:r>
        <w:rPr>
          <w:rStyle w:val="clauseprfx"/>
          <w:color w:val="000000"/>
          <w:sz w:val="28"/>
          <w:rFonts w:ascii="Times New Roman" w:hAnsi="Times New Roman"/>
        </w:rPr>
        <w:t xml:space="preserve">359-moddasiga ko‘ra, che</w:t>
      </w:r>
      <w:r>
        <w:rPr>
          <w:color w:val="000000"/>
          <w:sz w:val="28"/>
          <w:rFonts w:ascii="Times New Roman" w:hAnsi="Times New Roman"/>
        </w:rPr>
        <w:t xml:space="preserve">t el fuqarolari O‘zbekiston Respublikasi sudlariga murojaat qilish huquqiga ega va ular fuqarolik protsessual huquqlardan O‘zbekiston Respublikasi fuqarolari bilan teng ravishda foydalanadi.</w:t>
      </w:r>
    </w:p>
    <w:p>
      <w:pPr>
        <w:jc w:val="both"/>
        <w:ind w:firstLine="851"/>
        <w:spacing w:after="0"/>
        <w:rPr>
          <w:color w:val="000000"/>
          <w:sz w:val="28"/>
          <w:rFonts w:ascii="Times New Roman" w:hAnsi="Times New Roman"/>
        </w:rPr>
      </w:pPr>
      <w:r>
        <w:rPr>
          <w:rStyle w:val="clauseprfx"/>
          <w:color w:val="000000"/>
          <w:sz w:val="28"/>
          <w:rFonts w:ascii="Times New Roman" w:hAnsi="Times New Roman"/>
        </w:rPr>
        <w:t xml:space="preserve">Mazkur Kodeksning 360-moddasiga ko‘ra,</w:t>
      </w:r>
      <w:r>
        <w:rPr>
          <w:rStyle w:val="clauseprfx"/>
          <w:b/>
          <w:color w:val="000000"/>
          <w:sz w:val="28"/>
          <w:rFonts w:ascii="Times New Roman" w:hAnsi="Times New Roman"/>
        </w:rPr>
        <w:t xml:space="preserve"> </w:t>
      </w:r>
      <w:r>
        <w:rPr>
          <w:color w:val="000000"/>
          <w:sz w:val="28"/>
          <w:rFonts w:ascii="Times New Roman" w:hAnsi="Times New Roman"/>
        </w:rPr>
        <w:t xml:space="preserve">fuqaroligi bo‘lmagan shaxslar O‘zbekiston Respublikasi sudlariga murojaat qilish huquqiga ega va ular fuqarolik protsessual huquqlardan O‘zbekiston Respublikasi fuqarolari bilan teng ravishda foydalanadi.</w:t>
      </w:r>
    </w:p>
    <w:p>
      <w:pPr>
        <w:pStyle w:val="a7"/>
        <w:jc w:val="both"/>
        <w:spacing w:before="0" w:after="0" w:line="276" w:lineRule="auto"/>
        <w:rPr>
          <w:rStyle w:val="a8"/>
          <w:i w:val="false"/>
          <w:color w:val="000000"/>
          <w:sz w:val="28"/>
          <w:rFonts w:ascii="Times New Roman" w:hAnsi="Times New Roman"/>
        </w:rPr>
      </w:pPr>
      <w:r>
        <w:rPr>
          <w:color w:val="000000"/>
          <w:sz w:val="28"/>
        </w:rPr>
        <w:tab/>
        <w:t xml:space="preserve"> O‘zbekiston Respublikasi Fuqarolik protsessual kodeksining 188, 189-191, 359-361-moddalari</w:t>
      </w:r>
      <w:r>
        <w:rPr>
          <w:rStyle w:val="a8"/>
          <w:i w:val="false"/>
          <w:color w:val="000000"/>
          <w:sz w:val="28"/>
          <w:rFonts w:ascii="Times New Roman" w:hAnsi="Times New Roman"/>
        </w:rPr>
        <w:t xml:space="preserve">ga asosan </w:t>
      </w:r>
    </w:p>
    <w:p>
      <w:pPr>
        <w:pStyle w:val="a7"/>
        <w:jc w:val="both"/>
        <w:ind w:firstLine="709"/>
        <w:spacing w:before="0" w:after="0" w:line="276" w:lineRule="auto"/>
        <w:rPr>
          <w:i/>
          <w:color w:val="000000"/>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ind w:firstLine="684"/>
        <w:spacing w:line="276" w:lineRule="auto"/>
        <w:rPr>
          <w:sz w:val="28"/>
          <w:rFonts w:ascii="Times New Roman" w:hAnsi="Times New Roman"/>
        </w:rPr>
      </w:pPr>
      <w:r>
        <w:rPr>
          <w:sz w:val="28"/>
          <w:rFonts w:ascii="Times New Roman" w:hAnsi="Times New Roman"/>
        </w:rPr>
        <w:t xml:space="preserve">1. Majburiy ijro byurosi </w:t>
      </w:r>
      <w:r>
        <w:rPr>
          <w:vanish w:val="false"/>
          <w:sz w:val="28"/>
          <w:rFonts w:ascii="Times New Roman" w:hAnsi="Times New Roman"/>
        </w:rPr>
        <w:fldChar w:fldCharType="begin"/>
        <w:instrText xml:space="preserve">X {"Y":15}</w:instrText>
        <w:fldChar w:fldCharType="separate"/>
        <w:t xml:space="preserve">Da’vogarning mol-mulklarini xatlash to‘g‘risida qaror qabul qilgan MIB bo‘limi nomi</w:t>
      </w:r>
      <w:r>
        <w:rPr>
          <w:vanish w:val="false"/>
          <w:sz w:val="28"/>
          <w:rFonts w:ascii="Times New Roman" w:hAnsi="Times New Roman"/>
        </w:rPr>
        <w:fldChar w:fldCharType="end"/>
      </w:r>
      <w:r>
        <w:rPr>
          <w:sz w:val="28"/>
          <w:rFonts w:ascii="Times New Roman" w:hAnsi="Times New Roman"/>
        </w:rPr>
        <w:t xml:space="preserve"> bo‘limining mening mol-mulklarim </w:t>
      </w:r>
      <w:r>
        <w:rPr>
          <w:vanish w:val="false"/>
          <w:sz w:val="28"/>
          <w:rFonts w:ascii="Times New Roman" w:hAnsi="Times New Roman"/>
        </w:rPr>
        <w:fldChar w:fldCharType="begin"/>
        <w:instrText xml:space="preserve">X {"Y":20}</w:instrText>
        <w:fldChar w:fldCharType="separate"/>
        <w:t xml:space="preserve">Da’vogarning xatlovga olingan mol-mulklari nomi va soni</w:t>
      </w:r>
      <w:r>
        <w:rPr>
          <w:vanish w:val="false"/>
          <w:sz w:val="28"/>
          <w:rFonts w:ascii="Times New Roman" w:hAnsi="Times New Roman"/>
        </w:rPr>
        <w:fldChar w:fldCharType="end"/>
      </w:r>
      <w:r>
        <w:rPr>
          <w:sz w:val="28"/>
          <w:rFonts w:ascii="Times New Roman" w:hAnsi="Times New Roman"/>
        </w:rPr>
        <w:t xml:space="preserve">ni xatlashga oid </w:t>
      </w:r>
      <w:r>
        <w:rPr>
          <w:vanish w:val="false"/>
          <w:sz w:val="28"/>
          <w:rFonts w:ascii="Times New Roman" w:hAnsi="Times New Roman"/>
        </w:rPr>
        <w:fldChar w:fldCharType="begin"/>
        <w:instrText xml:space="preserve">X {"Y":16}</w:instrText>
        <w:fldChar w:fldCharType="separate"/>
        <w:t xml:space="preserve">Da’vogarning mol-mulklarini xatlash to‘g‘risida MIB tomonidan qaror qabul qilingan sana</w:t>
      </w:r>
      <w:r>
        <w:rPr>
          <w:vanish w:val="false"/>
          <w:sz w:val="28"/>
          <w:rFonts w:ascii="Times New Roman" w:hAnsi="Times New Roman"/>
        </w:rPr>
        <w:fldChar w:fldCharType="end"/>
      </w:r>
      <w:r>
        <w:rPr>
          <w:sz w:val="28"/>
          <w:rFonts w:ascii="Times New Roman" w:hAnsi="Times New Roman"/>
        </w:rPr>
        <w:t xml:space="preserve"> yildagi qarorini haqiqiy emas deb topib, mening mol-mulklarimni xatlovdan chiqarishingizni.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{"Y":22}</w:instrText>
        <w:fldChar w:fldCharType="separate"/>
        <w:t xml:space="preserve">Da’vo arizaga ilova qilinadigan hujjatlar nomi</w:t>
      </w:r>
      <w:r>
        <w:rPr>
          <w:vanish w:val="false"/>
          <w:sz w:val="28"/>
          <w:rFonts w:ascii="Times New Roman" w:hAnsi="Times New Roman"/>
        </w:rPr>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26"/>
        <w:gridCol w:w="3108"/>
        <w:gridCol w:w="3121"/>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Da’vogar shaxsning F.I.O.si</w:t>
            </w:r>
            <w:r>
              <w:rPr>
                <w:vanish w:val="false"/>
                <w:sz w:val="28"/>
                <w:rFonts w:ascii="Times New Roman" w:hAnsi="Times New Roman"/>
              </w:rPr>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 berilgan sana</w:t>
            </w:r>
            <w:r>
              <w:rPr>
                <w:vanish w:val="false"/>
                <w:sz w:val="28"/>
                <w:rFonts w:ascii="Times New Roman" w:hAnsi="Times New Roman"/>
              </w:rPr>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046F1"/>
    <w:rsid w:val="0005168A"/>
    <w:rsid w:val="0005686A"/>
    <w:rsid w:val="00076385"/>
    <w:rsid w:val="000B1164"/>
    <w:rsid w:val="000C148B"/>
    <w:rsid w:val="000E77B1"/>
    <w:rsid w:val="001E5B46"/>
    <w:rsid w:val="00224164"/>
    <w:rsid w:val="0028307D"/>
    <w:rsid w:val="00320BEA"/>
    <w:rsid w:val="00322E42"/>
    <w:rsid w:val="003252BE"/>
    <w:rsid w:val="0039430A"/>
    <w:rsid w:val="00395642"/>
    <w:rsid w:val="003C5CCC"/>
    <w:rsid w:val="00491ECA"/>
    <w:rsid w:val="00572551"/>
    <w:rsid w:val="00621257"/>
    <w:rsid w:val="00625A6E"/>
    <w:rsid w:val="006C7929"/>
    <w:rsid w:val="0079646C"/>
    <w:rsid w:val="007A7F6E"/>
    <w:rsid w:val="007F351C"/>
    <w:rsid w:val="00824F2E"/>
    <w:rsid w:val="008443CC"/>
    <w:rsid w:val="00903823"/>
    <w:rsid w:val="00940C66"/>
    <w:rsid w:val="009421E3"/>
    <w:rsid w:val="009D0830"/>
    <w:rsid w:val="009E3C75"/>
    <w:rsid w:val="00A46F04"/>
    <w:rsid w:val="00A95FFB"/>
    <w:rsid w:val="00AB24DE"/>
    <w:rsid w:val="00AB41C3"/>
    <w:rsid w:val="00AC6651"/>
    <w:rsid w:val="00AD1C53"/>
    <w:rsid w:val="00AE518A"/>
    <w:rsid w:val="00AE7E34"/>
    <w:rsid w:val="00AF32CF"/>
    <w:rsid w:val="00B259A0"/>
    <w:rsid w:val="00B264CF"/>
    <w:rsid w:val="00B70D33"/>
    <w:rsid w:val="00BC346E"/>
    <w:rsid w:val="00BF713C"/>
    <w:rsid w:val="00C04C5D"/>
    <w:rsid w:val="00C35EE2"/>
    <w:rsid w:val="00C641D3"/>
    <w:rsid w:val="00CB6C82"/>
    <w:rsid w:val="00D033CA"/>
    <w:rsid w:val="00D54A34"/>
    <w:rsid w:val="00DD25FD"/>
    <w:rsid w:val="00E119DC"/>
    <w:rsid w:val="00E478E1"/>
    <w:rsid w:val="00E711B6"/>
    <w:rsid w:val="00E77C9B"/>
    <w:rsid w:val="00ED3EE2"/>
    <w:rsid w:val="00F207FE"/>
    <w:rsid w:val="00F45BA1"/>
    <w:rsid w:val="00F54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28B45"/>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 w:id="1967931654">
      <w:bodyDiv w:val="1"/>
      <w:marLeft w:val="0"/>
      <w:marRight w:val="0"/>
      <w:marTop w:val="0"/>
      <w:marBottom w:val="0"/>
      <w:divBdr>
        <w:top w:val="none" w:sz="0" w:space="0" w:color="auto"/>
        <w:left w:val="none" w:sz="0" w:space="0" w:color="auto"/>
        <w:bottom w:val="none" w:sz="0" w:space="0" w:color="auto"/>
        <w:right w:val="none" w:sz="0" w:space="0" w:color="auto"/>
      </w:divBdr>
      <w:divsChild>
        <w:div w:id="1773865433">
          <w:marLeft w:val="0"/>
          <w:marRight w:val="0"/>
          <w:marTop w:val="120"/>
          <w:marBottom w:val="120"/>
          <w:divBdr>
            <w:top w:val="none" w:sz="0" w:space="0" w:color="auto"/>
            <w:left w:val="none" w:sz="0" w:space="0" w:color="auto"/>
            <w:bottom w:val="none" w:sz="0" w:space="0" w:color="auto"/>
            <w:right w:val="none" w:sz="0" w:space="0" w:color="auto"/>
          </w:divBdr>
        </w:div>
        <w:div w:id="1241672342">
          <w:marLeft w:val="0"/>
          <w:marRight w:val="0"/>
          <w:marTop w:val="0"/>
          <w:marBottom w:val="150"/>
          <w:divBdr>
            <w:top w:val="none" w:sz="0" w:space="0" w:color="auto"/>
            <w:left w:val="none" w:sz="0" w:space="0" w:color="auto"/>
            <w:bottom w:val="none" w:sz="0" w:space="0" w:color="auto"/>
            <w:right w:val="none" w:sz="0" w:space="0" w:color="auto"/>
          </w:divBdr>
        </w:div>
        <w:div w:id="626354645">
          <w:marLeft w:val="0"/>
          <w:marRight w:val="0"/>
          <w:marTop w:val="0"/>
          <w:marBottom w:val="150"/>
          <w:divBdr>
            <w:top w:val="none" w:sz="0" w:space="0" w:color="auto"/>
            <w:left w:val="none" w:sz="0" w:space="0" w:color="auto"/>
            <w:bottom w:val="none" w:sz="0" w:space="0" w:color="auto"/>
            <w:right w:val="none" w:sz="0" w:space="0" w:color="auto"/>
          </w:divBdr>
        </w:div>
        <w:div w:id="1046564556">
          <w:marLeft w:val="0"/>
          <w:marRight w:val="0"/>
          <w:marTop w:val="60"/>
          <w:marBottom w:val="60"/>
          <w:divBdr>
            <w:top w:val="none" w:sz="0" w:space="0" w:color="auto"/>
            <w:left w:val="none" w:sz="0" w:space="0" w:color="auto"/>
            <w:bottom w:val="none" w:sz="0" w:space="0" w:color="auto"/>
            <w:right w:val="none" w:sz="0" w:space="0" w:color="auto"/>
          </w:divBdr>
        </w:div>
        <w:div w:id="80103902">
          <w:marLeft w:val="0"/>
          <w:marRight w:val="0"/>
          <w:marTop w:val="0"/>
          <w:marBottom w:val="150"/>
          <w:divBdr>
            <w:top w:val="none" w:sz="0" w:space="0" w:color="auto"/>
            <w:left w:val="none" w:sz="0" w:space="0" w:color="auto"/>
            <w:bottom w:val="none" w:sz="0" w:space="0" w:color="auto"/>
            <w:right w:val="none" w:sz="0" w:space="0" w:color="auto"/>
          </w:divBdr>
        </w:div>
        <w:div w:id="683094139">
          <w:marLeft w:val="0"/>
          <w:marRight w:val="0"/>
          <w:marTop w:val="60"/>
          <w:marBottom w:val="60"/>
          <w:divBdr>
            <w:top w:val="none" w:sz="0" w:space="0" w:color="auto"/>
            <w:left w:val="none" w:sz="0" w:space="0" w:color="auto"/>
            <w:bottom w:val="none" w:sz="0" w:space="0" w:color="auto"/>
            <w:right w:val="none" w:sz="0" w:space="0" w:color="auto"/>
          </w:divBdr>
          <w:divsChild>
            <w:div w:id="1516994169">
              <w:marLeft w:val="0"/>
              <w:marRight w:val="0"/>
              <w:marTop w:val="0"/>
              <w:marBottom w:val="0"/>
              <w:divBdr>
                <w:top w:val="none" w:sz="0" w:space="0" w:color="auto"/>
                <w:left w:val="none" w:sz="0" w:space="0" w:color="auto"/>
                <w:bottom w:val="none" w:sz="0" w:space="0" w:color="auto"/>
                <w:right w:val="none" w:sz="0" w:space="0" w:color="auto"/>
              </w:divBdr>
            </w:div>
          </w:divsChild>
        </w:div>
        <w:div w:id="38554162">
          <w:marLeft w:val="0"/>
          <w:marRight w:val="0"/>
          <w:marTop w:val="60"/>
          <w:marBottom w:val="60"/>
          <w:divBdr>
            <w:top w:val="none" w:sz="0" w:space="0" w:color="auto"/>
            <w:left w:val="none" w:sz="0" w:space="0" w:color="auto"/>
            <w:bottom w:val="none" w:sz="0" w:space="0" w:color="auto"/>
            <w:right w:val="none" w:sz="0" w:space="0" w:color="auto"/>
          </w:divBdr>
        </w:div>
        <w:div w:id="2110421385">
          <w:marLeft w:val="0"/>
          <w:marRight w:val="0"/>
          <w:marTop w:val="120"/>
          <w:marBottom w:val="120"/>
          <w:divBdr>
            <w:top w:val="none" w:sz="0" w:space="0" w:color="auto"/>
            <w:left w:val="none" w:sz="0" w:space="0" w:color="auto"/>
            <w:bottom w:val="none" w:sz="0" w:space="0" w:color="auto"/>
            <w:right w:val="none" w:sz="0" w:space="0" w:color="auto"/>
          </w:divBdr>
        </w:div>
        <w:div w:id="710230082">
          <w:marLeft w:val="0"/>
          <w:marRight w:val="0"/>
          <w:marTop w:val="0"/>
          <w:marBottom w:val="150"/>
          <w:divBdr>
            <w:top w:val="none" w:sz="0" w:space="0" w:color="auto"/>
            <w:left w:val="none" w:sz="0" w:space="0" w:color="auto"/>
            <w:bottom w:val="none" w:sz="0" w:space="0" w:color="auto"/>
            <w:right w:val="none" w:sz="0" w:space="0" w:color="auto"/>
          </w:divBdr>
        </w:div>
        <w:div w:id="331296266">
          <w:marLeft w:val="0"/>
          <w:marRight w:val="0"/>
          <w:marTop w:val="60"/>
          <w:marBottom w:val="60"/>
          <w:divBdr>
            <w:top w:val="none" w:sz="0" w:space="0" w:color="auto"/>
            <w:left w:val="none" w:sz="0" w:space="0" w:color="auto"/>
            <w:bottom w:val="none" w:sz="0" w:space="0" w:color="auto"/>
            <w:right w:val="none" w:sz="0" w:space="0" w:color="auto"/>
          </w:divBdr>
          <w:divsChild>
            <w:div w:id="1312828723">
              <w:marLeft w:val="0"/>
              <w:marRight w:val="0"/>
              <w:marTop w:val="0"/>
              <w:marBottom w:val="0"/>
              <w:divBdr>
                <w:top w:val="none" w:sz="0" w:space="0" w:color="auto"/>
                <w:left w:val="none" w:sz="0" w:space="0" w:color="auto"/>
                <w:bottom w:val="none" w:sz="0" w:space="0" w:color="auto"/>
                <w:right w:val="none" w:sz="0" w:space="0" w:color="auto"/>
              </w:divBdr>
            </w:div>
          </w:divsChild>
        </w:div>
        <w:div w:id="1338852244">
          <w:marLeft w:val="0"/>
          <w:marRight w:val="0"/>
          <w:marTop w:val="60"/>
          <w:marBottom w:val="60"/>
          <w:divBdr>
            <w:top w:val="none" w:sz="0" w:space="0" w:color="auto"/>
            <w:left w:val="none" w:sz="0" w:space="0" w:color="auto"/>
            <w:bottom w:val="none" w:sz="0" w:space="0" w:color="auto"/>
            <w:right w:val="none" w:sz="0" w:space="0" w:color="auto"/>
          </w:divBdr>
        </w:div>
        <w:div w:id="254441522">
          <w:marLeft w:val="0"/>
          <w:marRight w:val="0"/>
          <w:marTop w:val="120"/>
          <w:marBottom w:val="120"/>
          <w:divBdr>
            <w:top w:val="none" w:sz="0" w:space="0" w:color="auto"/>
            <w:left w:val="none" w:sz="0" w:space="0" w:color="auto"/>
            <w:bottom w:val="none" w:sz="0" w:space="0" w:color="auto"/>
            <w:right w:val="none" w:sz="0" w:space="0" w:color="auto"/>
          </w:divBdr>
        </w:div>
        <w:div w:id="115791547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3753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2024-02-22T05:40:00Z</dcterms:created>
  <dcterms:modified xsi:type="dcterms:W3CDTF">2024-02-22T05:40:00Z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Javobgarning manzili</w:name>
    <w:value w:hidden="false">
      <w:unit w:active="false"/>
    </w:value>
  </w:element>
  <w:element w:id="11" w:kind="variable" w:selector="check" w:type="string" w:valueMode="normal" w:required="false" w:groupID="9">
    <w:identifier xml:space="preserve">ID11</w:identifier>
    <w:name xml:space="preserve">Javobgarning F.I.Sh.i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Da’vogarning mol-mulklarini xatlash to‘g‘risida qaror qabul qilgan MIB bo‘limi nomi</w:name>
    <w:value w:hidden="false">
      <w:unit w:active="false"/>
    </w:value>
  </w:element>
  <w:element w:id="16" w:kind="variable" w:selector="check" w:type="string" w:valueMode="normal" w:required="false" w:groupID="14">
    <w:identifier xml:space="preserve">ID16</w:identifier>
    <w:name xml:space="preserve">Da’vogarning mol-mulklarini xatlash to‘g‘risida MIB tomonidan qaror qabul qilingan sana</w:name>
    <w:value w:hidden="false">
      <w:unit w:active="false"/>
    </w:value>
  </w:element>
  <w:element w:id="17" w:kind="variable" w:selector="check" w:type="string" w:valueMode="normal" w:required="false" w:groupID="14">
    <w:identifier xml:space="preserve">ID17</w:identifier>
    <w:name xml:space="preserve">Da’vogarning mol-mulklarini xatlashga asos bo‘lgan sud qarorini qabul qilgan sud nomi</w:name>
    <w:value w:hidden="false">
      <w:unit w:active="false"/>
    </w:value>
  </w:element>
  <w:element w:id="18" w:kind="variable" w:selector="check" w:type="string" w:valueMode="normal" w:required="false" w:groupID="14">
    <w:identifier xml:space="preserve">ID18</w:identifier>
    <w:name xml:space="preserve">Da’vogarning mol-mulklarini xatlashga asos bo‘lgan sud qarori qabul qilgan sana</w:name>
    <w:value w:hidden="false">
      <w:unit w:active="false"/>
    </w:value>
  </w:element>
  <w:element w:id="19" w:kind="variable" w:selector="check" w:type="string" w:valueMode="normal" w:required="false" w:groupID="14">
    <w:identifier xml:space="preserve">ID19</w:identifier>
    <w:name xml:space="preserve">Da’vogarning mol-mulklarini xatlashga asos bo‘lgan sud qarorining qisqacha mazmuni</w:name>
    <w:value w:hidden="false">
      <w:unit w:active="false"/>
    </w:value>
  </w:element>
  <w:element w:id="20" w:kind="variable" w:selector="check" w:type="string" w:valueMode="normal" w:required="false" w:groupID="14">
    <w:identifier xml:space="preserve">ID20</w:identifier>
    <w:name xml:space="preserve">Da’vogarning xatlovga olingan mol-mulklari nomi va soni</w:name>
    <w:value w:hidden="false">
      <w:unit w:active="false"/>
    </w:value>
  </w:element>
  <w:element w:id="21" w:kind="variable" w:selector="check" w:type="string" w:valueMode="normal" w:required="false" w:groupID="14">
    <w:identifier xml:space="preserve">ID21</w:identifier>
    <w:name xml:space="preserve">Da’vogarning mol-mulklarini xatlovdan chiqarish uchun asos bo‘luvchi holatlar</w:name>
    <w:value w:hidden="false">
      <w:unit w:active="false"/>
    </w:value>
  </w:element>
  <w:element w:id="22" w:kind="variable" w:selector="check" w:type="string" w:valueMode="normal" w:required="false" w:groupID="14">
    <w:identifier xml:space="preserve">ID22</w:identifier>
    <w:name xml:space="preserve">Da’vo arizaga ilova qilinadigan hujjatlar nomi</w:name>
    <w:value w:hidden="false">
      <w:unit w:active="false"/>
    </w:value>
  </w:element>
</w:structure>
</file>