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76"/>
        <w:gridCol w:w="4879"/>
      </w:tblGrid>
      <w:tr>
        <w:tc>
          <w:tcPr>
            <w:tcW w:w="4691" w:type="dxa"/>
            <w:shd w:fill="auto"/>
          </w:tcPr>
          <w:p>
            <w:pPr>
              <w:rPr>
                <w:sz w:val="28"/>
                <w:rFonts w:ascii="Times New Roman" w:hAnsi="Times New Roman"/>
              </w:rPr>
            </w:pPr>
          </w:p>
        </w:tc>
        <w:tc>
          <w:tcPr>
            <w:tcW w:w="4880"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sud nomi</w:t>
              <w:fldChar w:fldCharType="end"/>
            </w:r>
            <w:r>
              <w:rPr>
                <w:b/>
                <w:sz w:val="28"/>
                <w:rFonts w:ascii="Times New Roman" w:hAnsi="Times New Roman"/>
              </w:rPr>
              <w:t xml:space="preserve"> sudiga</w:t>
            </w:r>
          </w:p>
          <w:p>
            <w:pPr>
              <w:spacing w:after="0"/>
              <w:rPr>
                <w:b/>
                <w:sz w:val="28"/>
                <w:rFonts w:ascii="Times New Roman" w:hAnsi="Times New Roman"/>
              </w:rPr>
            </w:pP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yuridik shaxs nomi yoki yakka tartibdagi tadbirkor (YATT)ning F.I.Osi</w:t>
              <w:fldChar w:fldCharType="end"/>
            </w:r>
            <w:r>
              <w:rPr>
                <w:sz w:val="28"/>
                <w:rFonts w:ascii="Times New Roman" w:hAnsi="Times New Roman"/>
              </w:rPr>
              <w:t>dan</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p>
        </w:tc>
      </w:tr>
    </w:tbl>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pStyle w:val="a3"/>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Ijro varaqasini ijroga taqdim etish muddatini tiklash toʻgʻrisida  </w:t>
      </w:r>
    </w:p>
    <w:p>
      <w:pPr>
        <w:pStyle w:val="a3"/>
        <w:jc w:val="both"/>
        <w:ind w:firstLine="900"/>
        <w:spacing w:after="0"/>
        <w:rPr>
          <w:sz w:val="28"/>
          <w:rFonts w:ascii="Times New Roman" w:hAnsi="Times New Roman"/>
        </w:rPr>
      </w:pPr>
    </w:p>
    <w:p>
      <w:pPr>
        <w:pStyle w:val="a3"/>
        <w:jc w:val="both"/>
        <w:ind w:firstLine="900"/>
        <w:spacing w:after="0"/>
        <w:rPr>
          <w:color w:val="000000"/>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berish uchun asos boʻlgan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Ijro varaqasi berilgan ish boʻyicha hal qiluv qarori qabul qilingan sana</w:t>
        <w:fldChar w:fldCharType="end"/>
      </w:r>
      <w:r>
        <w:rPr>
          <w:color w:val="000000"/>
          <w:sz w:val="28"/>
          <w:rFonts w:ascii="Times New Roman" w:hAnsi="Times New Roman"/>
        </w:rPr>
        <w:t xml:space="preserve"> kunidagi hal qiluv qarori bilan </w:t>
      </w:r>
      <w:r>
        <w:rPr>
          <w:sz w:val="28"/>
          <w:rFonts w:ascii="Times New Roman" w:hAnsi="Times New Roman"/>
        </w:rPr>
        <w:t xml:space="preserve">daʼvogar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Ijro varaqasi berilgan ish boʻyicha daʼvogar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Ijro varaqasi berilgan ish boʻyicha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Ijro varaqasi berilgan ish boʻyicha daʼvo ariza mazmuni</w:t>
        <w:fldChar w:fldCharType="end"/>
      </w:r>
      <w:r>
        <w:rPr>
          <w:sz w:val="28"/>
          <w:rFonts w:ascii="Times New Roman" w:hAnsi="Times New Roman"/>
        </w:rPr>
        <w:t xml:space="preserve"> toʻgʻrisidagi daʼvo arizasi qanoatlantirilgan. Ushbu hal qiluv qaroriga asosan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qaroriga asosan ijro varaqasi berilgan sana </w:t>
        <w:fldChar w:fldCharType="end"/>
      </w:r>
      <w:r>
        <w:rPr>
          <w:color w:val="000000"/>
          <w:sz w:val="28"/>
          <w:rFonts w:ascii="Times New Roman" w:hAnsi="Times New Roman"/>
        </w:rPr>
        <w:t xml:space="preserve"> kuni ijro varaqasi chiqarilgan. Biroq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 ijro varaqasini oʻz vaqtida ijroga topshirolmaganligining sabablari</w:t>
        <w:fldChar w:fldCharType="end"/>
      </w:r>
      <w:r>
        <w:rPr>
          <w:color w:val="000000"/>
          <w:sz w:val="28"/>
          <w:rFonts w:ascii="Times New Roman" w:hAnsi="Times New Roman"/>
        </w:rPr>
        <w:t xml:space="preserve"> sababli ushbu ijro varaqasini hozirga qadar MIB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Ijro varaqasi taqdim etilishi nazarda tutilgan MIB boʻlimi nomi </w:t>
        <w:fldChar w:fldCharType="end"/>
      </w:r>
      <w:r>
        <w:rPr>
          <w:color w:val="000000"/>
          <w:sz w:val="28"/>
          <w:rFonts w:ascii="Times New Roman" w:hAnsi="Times New Roman"/>
        </w:rPr>
        <w:t xml:space="preserve"> boʻlimiga topshirolmadim. </w:t>
      </w:r>
    </w:p>
    <w:p>
      <w:pPr>
        <w:jc w:val="both"/>
        <w:ind w:firstLine="851"/>
        <w:spacing w:after="0"/>
        <w:rPr>
          <w:sz w:val="28"/>
          <w:rFonts w:ascii="Times New Roman" w:hAnsi="Times New Roman"/>
        </w:rPr>
      </w:pPr>
      <w:r>
        <w:rPr>
          <w:sz w:val="28"/>
          <w:rFonts w:ascii="Times New Roman" w:hAnsi="Times New Roman"/>
        </w:rPr>
        <w:t xml:space="preserve">Oʻzbekiston Respublikasining “Sud hujjatlari va boshqa organlar hujjatlarini ijro etish toʻgʻrisida” gi Qonunining 29-moddasiga koʻra, </w:t>
      </w:r>
      <w:r>
        <w:rPr>
          <w:color w:val="000000"/>
          <w:sz w:val="28"/>
          <w:rFonts w:ascii="Times New Roman" w:hAnsi="Times New Roman"/>
        </w:rPr>
        <w:t xml:space="preserve">ijroga topshirish muddati oʻtkazib yuborilgan ijro hujjatini davlat ijrochisi ish yuritish uchun qabul qilmasdan, bu haqda tegishli qaror chiqaradi. Ijro varaqasi yoki sud buyrugʻini ijroga topshirish muddatini oʻtkazib yuborgan undiruvchi tegishli hujjatni qabul qilgan sudga yoki bu hujjat ijro etiladigan joydagi sudga oʻtkazib yuborilgan muddatni tiklash toʻgʻrisidagi ariza bilan murojaat qilishga haqlidir. </w:t>
      </w:r>
    </w:p>
    <w:p>
      <w:pPr>
        <w:jc w:val="both"/>
        <w:ind w:firstLine="851"/>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w:t>
      </w:r>
      <w:r>
        <w:rPr>
          <w:sz w:val="28"/>
          <w:rFonts w:ascii="Times New Roman" w:hAnsi="Times New Roman"/>
        </w:rPr>
        <w:t xml:space="preserve">“Sud hujjatlari va boshqa organlar hujjatlarini ijro etish toʻgʻrisida” gi Qonuni</w:t>
      </w:r>
      <w:r>
        <w:rPr>
          <w:color w:val="000000"/>
          <w:sz w:val="28"/>
          <w:rFonts w:ascii="Times New Roman" w:hAnsi="Times New Roman"/>
        </w:rPr>
        <w:t xml:space="preserve">ning 28-30-moddalariga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SOʻRAYMAN:</w:t>
      </w:r>
    </w:p>
    <w:p>
      <w:pPr>
        <w:jc w:val="center"/>
        <w:spacing w:after="0"/>
        <w:rPr>
          <w:color w:val="000000"/>
          <w:sz w:val="28"/>
          <w:rFonts w:ascii="Times New Roman" w:hAnsi="Times New Roman"/>
        </w:rPr>
      </w:pPr>
    </w:p>
    <w:p>
      <w:pPr>
        <w:jc w:val="both"/>
        <w:ind w:firstLine="851"/>
        <w:spacing w:after="0"/>
        <w:rPr>
          <w:color w:val="000000"/>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berish uchun asos boʻlgan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Ijro varaqasi berilgan ish boʻyicha hal qiluv qarori qabul qilingan sana</w:t>
        <w:fldChar w:fldCharType="end"/>
      </w:r>
      <w:r>
        <w:rPr>
          <w:color w:val="000000"/>
          <w:sz w:val="28"/>
          <w:rFonts w:ascii="Times New Roman" w:hAnsi="Times New Roman"/>
        </w:rPr>
        <w:t xml:space="preserve"> kunidagi hal qiluv qarori boʻyicha ijro varaqasini ijroga taqdim etish muddatini tiklashingizni. </w:t>
      </w:r>
    </w:p>
    <w:p>
      <w:pPr>
        <w:jc w:val="both"/>
        <w:ind w:firstLine="708"/>
        <w:spacing w:after="0"/>
        <w:rPr>
          <w:color w:val="000000"/>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Arizaga ilova qilinayotgan hujjatlar:</w:t>
      </w:r>
    </w:p>
    <w:p>
      <w:pPr>
        <w:pStyle w:val="a3"/>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Arizaga ilova qilinayotgan hujjatlar nomi</w:t>
        <w:fldChar w:fldCharType="end"/>
      </w:r>
    </w:p>
    <w:p>
      <w:pPr>
        <w:pStyle w:val="a3"/>
        <w:jc w:val="both"/>
        <w:spacing w:after="0"/>
        <w:rPr>
          <w:sz w:val="28"/>
          <w:rFonts w:ascii="Times New Roman" w:hAnsi="Times New Roman"/>
        </w:rPr>
      </w:pPr>
      <w:r>
        <w:rPr>
          <w:sz w:val="28"/>
          <w:rFonts w:ascii="Times New Roman" w:hAnsi="Times New Roman"/>
        </w:rPr>
        <w:tab/>
      </w:r>
    </w:p>
    <w:p>
      <w:pPr>
        <w:pStyle w:val="a3"/>
        <w:jc w:val="both"/>
        <w:spacing w:after="0"/>
        <w:rPr>
          <w:sz w:val="28"/>
          <w:rFonts w:ascii="Times New Roman" w:hAnsi="Times New Roman"/>
        </w:rPr>
      </w:pPr>
    </w:p>
    <w:tbl>
      <w:tblPr>
        <w:tblW w:w="0" w:type="auto"/>
      </w:tblPr>
      <w:tblGrid>
        <w:gridCol w:w="3163"/>
        <w:gridCol w:w="3043"/>
        <w:gridCol w:w="3149"/>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sz w:val="28"/>
          <w:rFonts w:ascii="Times New Roman" w:hAnsi="Times New Roman"/>
        </w:rPr>
      </w:pPr>
      <w:r>
        <w:rPr>
          <w:b/>
          <w:sz w:val="28"/>
          <w:rFonts w:ascii="Times New Roman" w:hAnsi="Times New Roman"/>
        </w:rPr>
      </w:r>
    </w:p>
    <w:sectPr>
      <w:type w:val="continuous"/>
      <w:pgSz w:w="11906" w:h="16838"/>
      <w:pgMar w:left="1701" w:right="850" w:top="1134" w:bottom="1134" w:header="720"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DD1"/>
    <w:rsid w:val="000B30D9"/>
    <w:rsid w:val="00713DD1"/>
    <w:rsid w:val="00752E69"/>
    <w:rsid w:val="00D74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57622B-604F-4311-BC7A-A6096D39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4D0D"/>
    <w:pPr>
      <w:suppressAutoHyphens/>
      <w:spacing w:after="200" w:line="276" w:lineRule="auto"/>
    </w:pPr>
    <w:rPr>
      <w:rFonts w:ascii="Calibri" w:eastAsia="Calibri" w:hAnsi="Calibri"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74D0D"/>
    <w:pPr>
      <w:spacing w:after="120"/>
    </w:pPr>
  </w:style>
  <w:style w:type="character" w:customStyle="1" w:styleId="a4">
    <w:name w:val="Основной текст Знак"/>
    <w:basedOn w:val="a0"/>
    <w:link w:val="a3"/>
    <w:rsid w:val="00D74D0D"/>
    <w:rPr>
      <w:rFonts w:ascii="Calibri" w:eastAsia="Calibri" w:hAnsi="Calibri" w:cs="Times New Roman"/>
      <w:lang w:eastAsia="zh-CN"/>
    </w:rPr>
  </w:style>
  <w:style w:type="paragraph" w:styleId="a5">
    <w:name w:val="List Paragraph"/>
    <w:basedOn w:val="a"/>
    <w:uiPriority w:val="34"/>
    <w:qFormat/>
    <w:rsid w:val="00D74D0D"/>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2025-03-28T10:24:00Z</dcterms:created>
  <dcterms:modified xsi:type="dcterms:W3CDTF">2025-03-28T10:24:00Z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Ariza berilgan sud nomi</w:name>
    <w:value w:hidden="false">
      <w:unit w:active="false"/>
    </w:value>
  </w:element>
  <w:element w:id="3" w:kind="variable" w:type="string" w:valueMode="normal" w:required="false" w:groupID="1">
    <w:identifier xml:space="preserve">ID3</w:identifier>
    <w:name xml:space="preserve">Ariza berilgan sana</w:name>
    <w:value w:hidden="false">
      <w:unit w:active="false"/>
    </w:value>
  </w:element>
  <w:element w:id="4" w:kind="category" w:type="string" w:valueMode="normal" w:required="false" w:groupID="4">
    <w:identifier xml:space="preserve">ID4</w:identifier>
    <w:name xml:space="preserve">Ariza beruvchi</w:name>
    <w:value w:hidden="true">
      <w:unit w:active="false"/>
    </w:value>
  </w:element>
  <w:element w:id="5" w:kind="variable" w:type="string" w:valueMode="normal" w:required="false" w:groupID="4">
    <w:identifier xml:space="preserve">ID5</w:identifier>
    <w:name xml:space="preserve">Ariza beruvchining manzili</w:name>
    <w:value w:hidden="false">
      <w:unit w:active="false"/>
    </w:value>
  </w:element>
  <w:element w:id="6" w:kind="variable" w:type="string" w:valueMode="normal" w:required="false" w:groupID="4">
    <w:identifier xml:space="preserve">ID6</w:identifier>
    <w:name xml:space="preserve">Ariza beruvchi yuridik shaxs nomi yoki yakka tartibdagi tadbirkor (YATT)ning F.I.Osi</w:name>
    <w:comment xml:space="preserve">Izoh: Masalan “Baraka” MJCH yoki YATT D.Abdullayev</w:comment>
    <w:value w:hidden="false">
      <w:unit w:active="false"/>
    </w:value>
  </w:element>
  <w:element w:id="7" w:kind="variable"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type="string" w:valueMode="normal" w:required="false" w:groupID="8">
    <w:identifier xml:space="preserve">ID8</w:identifier>
    <w:name xml:space="preserve">Ariza mazmuni</w:name>
    <w:value w:hidden="true">
      <w:unit w:active="false"/>
    </w:value>
  </w:element>
  <w:element w:id="9" w:kind="variable" w:type="string" w:valueMode="normal" w:required="false" w:groupID="8">
    <w:identifier xml:space="preserve">ID9</w:identifier>
    <w:name xml:space="preserve">Ijro varaqasi berilgan ish boʻyicha daʼvogar</w:name>
    <w:value w:hidden="false">
      <w:unit w:active="false"/>
    </w:value>
  </w:element>
  <w:element w:id="10" w:kind="variable" w:type="string" w:valueMode="normal" w:required="false" w:groupID="8">
    <w:identifier xml:space="preserve">ID10</w:identifier>
    <w:name xml:space="preserve">Ijro varaqasi berilgan ish boʻyicha javobgar</w:name>
    <w:value w:hidden="false">
      <w:unit w:active="false"/>
    </w:value>
  </w:element>
  <w:element w:id="11" w:kind="variable" w:type="string" w:valueMode="normal" w:required="false" w:groupID="8">
    <w:identifier xml:space="preserve">ID11</w:identifier>
    <w:name xml:space="preserve">Ijro varaqasi berilgan ish boʻyicha daʼvo ariza mazmuni</w:name>
    <w:value w:hidden="false">
      <w:unit w:active="false"/>
    </w:value>
  </w:element>
  <w:element w:id="12" w:kind="variable" w:type="string" w:valueMode="normal" w:required="false" w:groupID="8">
    <w:identifier xml:space="preserve">ID12</w:identifier>
    <w:name xml:space="preserve">Ijro varaqasi berilgan ish boʻyicha hal qiluv qarori qabul qilingan sana</w:name>
    <w:value w:hidden="false">
      <w:unit w:active="false"/>
    </w:value>
  </w:element>
  <w:element w:id="13" w:kind="variable" w:type="string" w:valueMode="normal" w:required="false" w:groupID="8">
    <w:identifier xml:space="preserve">ID13</w:identifier>
    <w:name xml:space="preserve">Hal qiluv qaroriga asosan ijro varaqasi berilgan sana </w:name>
    <w:value w:hidden="false">
      <w:unit w:active="false"/>
    </w:value>
  </w:element>
  <w:element w:id="14" w:kind="variable" w:type="string" w:valueMode="normal" w:required="false" w:groupID="8">
    <w:identifier xml:space="preserve">ID14</w:identifier>
    <w:name xml:space="preserve">Arizachi ijro varaqasini oʻz vaqtida ijroga topshirolmaganligining sabablari</w:name>
    <w:value w:hidden="false">
      <w:unit w:active="false"/>
    </w:value>
  </w:element>
  <w:element w:id="15" w:kind="variable" w:type="string" w:valueMode="normal" w:required="false" w:groupID="8">
    <w:identifier xml:space="preserve">ID15</w:identifier>
    <w:name xml:space="preserve">Ijro varaqasi taqdim etilishi nazarda tutilgan MIB boʻlimi nomi </w:name>
    <w:value w:hidden="false">
      <w:unit w:active="false"/>
    </w:value>
  </w:element>
  <w:element w:id="16" w:kind="variable" w:type="string" w:valueMode="normal" w:required="false" w:groupID="8">
    <w:identifier xml:space="preserve">ID16</w:identifier>
    <w:name xml:space="preserve">Ijro varaqasi berish uchun asos boʻlgan sud qarorini qabul qilgan sud nomi</w:name>
    <w:value w:hidden="false">
      <w:unit w:active="false"/>
    </w:value>
  </w:element>
  <w:element w:id="17" w:kind="variable" w:type="string" w:valueMode="normal" w:required="false" w:groupID="8">
    <w:identifier xml:space="preserve">ID17</w:identifier>
    <w:name xml:space="preserve">Arizaga ilova qilinayotgan hujjatlar nomi</w:name>
    <w:value w:hidden="false">
      <w:unit w:active="false"/>
    </w:value>
  </w:element>
</w:structure>
</file>