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b"/>
        <w:tblW w:w="0" w:type="auto"/>
        <w:tblInd w:w="3654"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5701"/>
      </w:tblGrid>
      <w:tr>
        <w:tc>
          <w:tcPr>
            <w:tcW w:w="5706" w:type="dxa"/>
          </w:tcPr>
          <w:p>
            <w:pPr>
              <w:jc w:val="right"/>
              <w:ind w:left="993"/>
              <w:spacing w:after="0" w:line="240" w:lineRule="auto"/>
              <w:rPr>
                <w:b/>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Daʼvo ariza berilgan fuqarolik ishlari bo‘yicha sud nomi</w:t>
            </w:r>
            <w:r>
              <w:rPr>
                <w:b/>
                <w:vanish w:val="false"/>
                <w:sz w:val="24"/>
                <w:rFonts w:ascii="Times New Roman" w:hAnsi="Times New Roman"/>
              </w:rPr>
              <w:fldChar w:fldCharType="end"/>
            </w:r>
            <w:r>
              <w:rPr>
                <w:b/>
                <w:sz w:val="24"/>
                <w:rFonts w:ascii="Times New Roman" w:hAnsi="Times New Roman"/>
              </w:rPr>
              <w:t>ga</w:t>
            </w:r>
          </w:p>
        </w:tc>
      </w:tr>
      <w:tr>
        <w:tc>
          <w:tcPr>
            <w:tcW w:w="5706" w:type="dxa"/>
          </w:tcPr>
          <w:p>
            <w:pPr>
              <w:jc w:val="right"/>
              <w:ind w:left="993"/>
              <w:spacing w:after="0" w:line="252" w:lineRule="auto"/>
              <w:rPr>
                <w:sz w:val="24"/>
                <w:rFonts w:ascii="Times New Roman" w:hAnsi="Times New Roman"/>
              </w:rPr>
            </w:pPr>
          </w:p>
        </w:tc>
      </w:tr>
      <w:tr>
        <w:tc>
          <w:tcPr>
            <w:tcW w:w="5706" w:type="dxa"/>
          </w:tcPr>
          <w:p>
            <w:pPr>
              <w:jc w:val="right"/>
              <w:ind w:left="993"/>
              <w:spacing w:after="0" w:line="252" w:lineRule="auto"/>
              <w:rPr>
                <w:sz w:val="24"/>
                <w:rFonts w:ascii="Times New Roman" w:hAnsi="Times New Roman"/>
              </w:rPr>
            </w:pPr>
            <w:r>
              <w:rPr>
                <w:b/>
                <w:sz w:val="24"/>
                <w:rFonts w:ascii="Times New Roman" w:hAnsi="Times New Roman"/>
              </w:rPr>
              <w:t>Daʼvogar:</w:t>
            </w: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r>
      <w:tr>
        <w:tc>
          <w:tcPr>
            <w:tcW w:w="5706" w:type="dxa"/>
          </w:tcPr>
          <w:p>
            <w:pPr>
              <w:jc w:val="right"/>
              <w:ind w:left="993"/>
              <w:spacing w:after="0" w:line="252" w:lineRule="auto"/>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{"Y":6}</w:instrText>
              <w:fldChar w:fldCharType="separate"/>
              <w:t xml:space="preserve">Daʼvogarning yashash manzili</w:t>
            </w:r>
            <w:r>
              <w:rPr>
                <w:vanish w:val="false"/>
                <w:sz w:val="24"/>
                <w:rFonts w:ascii="Times New Roman" w:hAnsi="Times New Roman"/>
              </w:rPr>
              <w:fldChar w:fldCharType="end"/>
            </w:r>
          </w:p>
        </w:tc>
      </w:tr>
      <w:tr>
        <w:tc>
          <w:tcPr>
            <w:tcW w:w="5706" w:type="dxa"/>
          </w:tcPr>
          <w:p>
            <w:pPr>
              <w:jc w:val="right"/>
              <w:ind w:left="993"/>
              <w:spacing w:after="0" w:line="252" w:lineRule="auto"/>
              <w:rPr>
                <w:i/>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{"Y":7}</w:instrText>
              <w:fldChar w:fldCharType="separate"/>
              <w:t xml:space="preserve">Daʼvogarning telefon raqamlari</w:t>
            </w:r>
            <w:r>
              <w:rPr>
                <w:vanish w:val="false"/>
                <w:sz w:val="24"/>
                <w:rFonts w:ascii="Times New Roman" w:hAnsi="Times New Roman"/>
              </w:rPr>
              <w:fldChar w:fldCharType="end"/>
            </w:r>
          </w:p>
          <w:p>
            <w:pPr>
              <w:jc w:val="right"/>
              <w:ind w:left="993"/>
              <w:spacing w:after="0" w:line="252" w:lineRule="auto"/>
              <w:rPr>
                <w:i/>
                <w:sz w:val="24"/>
                <w:rFonts w:ascii="Times New Roman" w:hAnsi="Times New Roman"/>
              </w:rPr>
            </w:pPr>
            <w:r>
              <w:rPr>
                <w:sz w:val="24"/>
                <w:rFonts w:ascii="Times New Roman" w:hAnsi="Times New Roman"/>
              </w:rPr>
              <w:t xml:space="preserve">Pochta: </w:t>
            </w:r>
            <w:r>
              <w:rPr>
                <w:vanish w:val="false"/>
                <w:sz w:val="24"/>
                <w:rFonts w:ascii="Times New Roman" w:hAnsi="Times New Roman"/>
              </w:rPr>
              <w:fldChar w:fldCharType="begin"/>
              <w:instrText xml:space="preserve">X {"Y":8}</w:instrText>
              <w:fldChar w:fldCharType="separate"/>
              <w:t xml:space="preserve">Daʼvogarning pochta (elektron) manzili</w:t>
            </w:r>
            <w:r>
              <w:rPr>
                <w:vanish w:val="false"/>
                <w:sz w:val="24"/>
                <w:rFonts w:ascii="Times New Roman" w:hAnsi="Times New Roman"/>
              </w:rPr>
              <w:fldChar w:fldCharType="end"/>
            </w:r>
          </w:p>
        </w:tc>
      </w:tr>
      <w:tr>
        <w:tc>
          <w:tcPr>
            <w:tcW w:w="5706" w:type="dxa"/>
          </w:tcPr>
          <w:p>
            <w:pPr>
              <w:jc w:val="right"/>
              <w:ind w:left="993"/>
              <w:spacing w:after="0" w:line="252" w:lineRule="auto"/>
              <w:rPr>
                <w:b/>
                <w:sz w:val="24"/>
                <w:rFonts w:ascii="Times New Roman" w:hAnsi="Times New Roman"/>
              </w:rPr>
            </w:pPr>
          </w:p>
        </w:tc>
      </w:tr>
      <w:tr>
        <w:tc>
          <w:tcPr>
            <w:tcW w:w="5706" w:type="dxa"/>
          </w:tcPr>
          <w:p>
            <w:pPr>
              <w:jc w:val="right"/>
              <w:ind w:left="993"/>
              <w:spacing w:after="0" w:line="252" w:lineRule="auto"/>
              <w:rPr>
                <w:b/>
                <w:sz w:val="24"/>
                <w:rFonts w:ascii="Times New Roman" w:hAnsi="Times New Roman"/>
              </w:rPr>
            </w:pPr>
            <w:r>
              <w:rPr>
                <w:b/>
                <w:sz w:val="24"/>
                <w:rFonts w:ascii="Times New Roman" w:hAnsi="Times New Roman"/>
              </w:rPr>
              <w:t xml:space="preserve">Javobgar: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p>
        </w:tc>
      </w:tr>
      <w:tr>
        <w:tc>
          <w:tcPr>
            <w:tcW w:w="5706" w:type="dxa"/>
          </w:tcPr>
          <w:p>
            <w:pPr>
              <w:jc w:val="right"/>
              <w:ind w:left="993"/>
              <w:spacing w:after="0" w:line="252" w:lineRule="auto"/>
              <w:rPr>
                <w:i/>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{"Y":11}</w:instrText>
              <w:fldChar w:fldCharType="separate"/>
              <w:t xml:space="preserve">Javobgarning yashash manzil</w:t>
            </w:r>
            <w:r>
              <w:rPr>
                <w:vanish w:val="false"/>
                <w:sz w:val="24"/>
                <w:rFonts w:ascii="Times New Roman" w:hAnsi="Times New Roman"/>
              </w:rPr>
              <w:fldChar w:fldCharType="end"/>
            </w:r>
          </w:p>
        </w:tc>
      </w:tr>
      <w:tr>
        <w:tc>
          <w:tcPr>
            <w:tcW w:w="5706" w:type="dxa"/>
          </w:tcPr>
          <w:p>
            <w:pPr>
              <w:jc w:val="right"/>
              <w:ind w:left="993"/>
              <w:spacing w:after="0" w:line="252" w:lineRule="auto"/>
              <w:rPr>
                <w:i/>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Izoh: Mazkur bandga viloyat, tuman (shahar), mahalla, ko‘cha nomi va uy raqami yoziladi</w:t>
              <w:fldChar w:fldCharType="end"/>
            </w:r>
          </w:p>
        </w:tc>
      </w:tr>
    </w:tbl>
    <w:p>
      <w:pPr>
        <w:jc w:val="right"/>
        <w:ind w:left="4794" w:hanging="3801"/>
        <w:spacing w:after="0" w:line="252" w:lineRule="auto"/>
        <w:rPr>
          <w:i/>
          <w:sz w:val="24"/>
          <w:rFonts w:ascii="Times New Roman" w:hAnsi="Times New Roman"/>
        </w:rPr>
      </w:pPr>
      <w:r>
        <w:rPr>
          <w:sz w:val="24"/>
          <w:rFonts w:ascii="Times New Roman" w:hAnsi="Times New Roman"/>
        </w:rPr>
        <w:t xml:space="preserve">                                                               Pochta: </w:t>
      </w:r>
      <w:r>
        <w:rPr>
          <w:vanish w:val="false"/>
          <w:sz w:val="24"/>
          <w:rFonts w:ascii="Times New Roman" w:hAnsi="Times New Roman"/>
        </w:rPr>
        <w:fldChar w:fldCharType="begin"/>
        <w:instrText xml:space="preserve">X {"Y":13}</w:instrText>
        <w:fldChar w:fldCharType="separate"/>
        <w:t xml:space="preserve">Javobgarning pochta (elektron) manzili</w:t>
      </w:r>
      <w:r>
        <w:rPr>
          <w:vanish w:val="false"/>
          <w:sz w:val="24"/>
          <w:rFonts w:ascii="Times New Roman" w:hAnsi="Times New Roman"/>
        </w:rPr>
        <w:fldChar w:fldCharType="end"/>
      </w:r>
    </w:p>
    <w:p>
      <w:pPr>
        <w:pStyle w:val="ConsPlusNonformat"/>
        <w:jc w:val="right"/>
        <w:rPr>
          <w:sz w:val="24"/>
          <w:rFonts w:ascii="Times New Roman" w:hAnsi="Times New Roman"/>
        </w:rPr>
      </w:pPr>
    </w:p>
    <w:p>
      <w:pPr>
        <w:pStyle w:val="ConsPlusNonformat"/>
        <w:jc w:val="center"/>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D A ʼ V O   A R I Z A</w:t>
      </w:r>
    </w:p>
    <w:p>
      <w:pPr>
        <w:jc w:val="center"/>
        <w:shd w:fill="ffffff"/>
        <w:ind w:firstLine="539"/>
        <w:spacing w:after="0" w:line="240" w:lineRule="atLeast"/>
        <w:rPr>
          <w:i/>
          <w:sz w:val="24"/>
          <w:rFonts w:ascii="Times New Roman" w:hAnsi="Times New Roman"/>
        </w:rPr>
      </w:pPr>
      <w:r>
        <w:rPr>
          <w:i/>
          <w:sz w:val="24"/>
          <w:rFonts w:ascii="Times New Roman" w:hAnsi="Times New Roman"/>
        </w:rPr>
        <w:t xml:space="preserve">(Mulk huquqi boshqa shaxsga oʻtganligini davlat roʻyxatidan oʻtkazish toʻgʻrisida)</w:t>
      </w:r>
    </w:p>
    <w:p>
      <w:pPr>
        <w:jc w:val="center"/>
        <w:spacing w:after="0" w:line="240" w:lineRule="auto"/>
        <w:rPr>
          <w:sz w:val="24"/>
          <w:rFonts w:ascii="Times New Roman" w:hAnsi="Times New Roman"/>
        </w:rPr>
      </w:pPr>
    </w:p>
    <w:p>
      <w:pPr>
        <w:jc w:val="both"/>
        <w:shd w:fill="ffffff"/>
        <w:ind w:firstLine="851"/>
        <w:spacing w:after="0" w:line="240" w:lineRule="atLeast"/>
        <w:rPr>
          <w:sz w:val="24"/>
          <w:rFonts w:ascii="Times New Roman" w:hAnsi="Times New Roman"/>
        </w:rPr>
      </w:pPr>
      <w:r>
        <w:rPr>
          <w:sz w:val="24"/>
          <w:rFonts w:ascii="Times New Roman" w:hAnsi="Times New Roman"/>
        </w:rPr>
        <w:t xml:space="preserve">Men </w:t>
      </w:r>
      <w:r>
        <w:rPr>
          <w:vanish w:val="false"/>
          <w:sz w:val="24"/>
          <w:rFonts w:ascii="Times New Roman" w:hAnsi="Times New Roman"/>
        </w:rPr>
        <w:fldChar w:fldCharType="begin"/>
        <w:instrText xml:space="preserve">X {"Y":15}</w:instrText>
        <w:fldChar w:fldCharType="separate"/>
        <w:t xml:space="preserve">Mulk huquqi belgilanishi so‘ralayotgan ko‘chmas mulk binosi joylashgan manzil</w:t>
      </w:r>
      <w:r>
        <w:rPr>
          <w:vanish w:val="false"/>
          <w:sz w:val="24"/>
          <w:rFonts w:ascii="Times New Roman" w:hAnsi="Times New Roman"/>
        </w:rPr>
        <w:fldChar w:fldCharType="end"/>
      </w:r>
      <w:r>
        <w:rPr>
          <w:sz w:val="24"/>
          <w:rFonts w:ascii="Times New Roman" w:hAnsi="Times New Roman"/>
        </w:rPr>
        <w:t xml:space="preserve"> manzilida joylashgan koʻchmas mulkni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Kuchmas mulk yuzasidan oldi-sotdi shartnomasi rasmiylashtirilgan sana</w:t>
        <w:fldChar w:fldCharType="end"/>
      </w:r>
      <w:r>
        <w:rPr>
          <w:sz w:val="24"/>
          <w:rFonts w:ascii="Times New Roman" w:hAnsi="Times New Roman"/>
        </w:rPr>
        <w:t xml:space="preserve"> kungi koʻchmas mulkni oldi-sotdi shartnomasiga koʻra, javobgardan sotib olganman. Mazkur uyga koʻchib oʻtib, hozirda shu uyda yashab kelmoqdaman. Biroq, javobgar koʻchmas mulkka boʻlgan mulk huquqi boshqa shaxsga oʻtganligini davlat roʻyxatidan oʻtkazishdan boʻyin tovlamoqda. Shu sababli sudga murojaat qilishga majbur boʻldim.</w:t>
      </w:r>
    </w:p>
    <w:p>
      <w:pPr>
        <w:jc w:val="both"/>
        <w:shd w:fill="ffffff"/>
        <w:ind w:firstLine="851"/>
        <w:spacing w:after="0" w:line="240" w:lineRule="atLeast"/>
        <w:rPr>
          <w:sz w:val="24"/>
          <w:rFonts w:ascii="Times New Roman" w:hAnsi="Times New Roman"/>
        </w:rPr>
      </w:pPr>
      <w:r>
        <w:rPr>
          <w:sz w:val="24"/>
          <w:rFonts w:ascii="Times New Roman" w:hAnsi="Times New Roman"/>
        </w:rPr>
        <w:t xml:space="preserve">Oʻzbekiston Respublikasi Fuqarolik kodeksining 481-moddasi talabiga koʻra, koʻchmas mulkni sotish shartnomasiga binoan koʻchmas mulkka boʻlgan mulk huquqining sotib oluvchiga oʻtganligi davlat roʻyxatidan oʻtkazilishi lozim. Mulk huquqi boshqa shaxsga oʻtganligi davlat roʻyxatidan oʻtkazilgunga qadar taraflarning koʻchmas mulkni sotish shartnomasini bajarishi ularning uchinchi shaxslar bilan munosabatlarini oʻzgartirishi uchun asos boʻlmaydi. Agar taraflardan biri koʻchmas mulkka boʻlgan mulk huquqi boshqa shaxsga oʻtganligini davlat roʻyxatidan oʻtkazishdan boʻyin tovlasa, boshqa tarafning talabiga binoan sud mulk huquqi boshqa shaxsga oʻtganligini davlat roʻyxatidan oʻtkazish toʻgʻrisida qaror chiqarishga haqli. Mulk huquqi boshqa shaxsga oʻtganligini davlat roʻyxatidan oʻtkazishdan asossiz ravishda boʻyin tovlayotgan taraf boshqa tarafning roʻyxatdan oʻtkazish kechikkanligi tufayli koʻrgan zararini qoplashi shart.</w:t>
      </w:r>
    </w:p>
    <w:p>
      <w:pPr>
        <w:jc w:val="both"/>
        <w:shd w:fill="ffffff"/>
        <w:ind w:firstLine="851"/>
        <w:spacing w:after="0" w:line="240" w:lineRule="atLeast"/>
        <w:rPr>
          <w:sz w:val="24"/>
          <w:rFonts w:ascii="Times New Roman" w:hAnsi="Times New Roman"/>
        </w:rPr>
      </w:pPr>
      <w:r>
        <w:rPr>
          <w:sz w:val="24"/>
          <w:rFonts w:ascii="Times New Roman" w:hAnsi="Times New Roman"/>
        </w:rPr>
        <w:t xml:space="preserve">Yuqordigalarga koʻra, Oʻzbekiston Respublikasi Fuqarolik kodeksining </w:t>
        <w:br/>
        <w:t xml:space="preserve">481-moddasi hamda Oʻzbekiston Respublikasi Fuqarolik protsessual kodeksining 189 va 191-moddalariga asosan,</w:t>
      </w:r>
    </w:p>
    <w:p>
      <w:pPr>
        <w:jc w:val="center"/>
        <w:spacing w:after="0" w:line="240" w:lineRule="auto"/>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SOʻRAYMAN:</w:t>
      </w:r>
    </w:p>
    <w:p>
      <w:pPr>
        <w:jc w:val="center"/>
        <w:spacing w:after="0" w:line="240" w:lineRule="auto"/>
        <w:rPr>
          <w:sz w:val="24"/>
          <w:rFonts w:ascii="Times New Roman" w:hAnsi="Times New Roman"/>
        </w:rPr>
      </w:pPr>
    </w:p>
    <w:p>
      <w:pPr>
        <w:jc w:val="both"/>
        <w:ind w:firstLine="834"/>
        <w:spacing w:after="0" w:line="240" w:lineRule="auto"/>
        <w:rPr>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Mulk huquqi belgilanishi so‘ralayotgan ko‘chmas mulk binosi joylashgan manzil</w:t>
      </w:r>
      <w:r>
        <w:rPr>
          <w:vanish w:val="false"/>
          <w:sz w:val="24"/>
          <w:rFonts w:ascii="Times New Roman" w:hAnsi="Times New Roman"/>
        </w:rPr>
        <w:fldChar w:fldCharType="end"/>
      </w:r>
      <w:r>
        <w:rPr>
          <w:sz w:val="24"/>
          <w:rFonts w:ascii="Times New Roman" w:hAnsi="Times New Roman"/>
        </w:rPr>
        <w:t xml:space="preserve">da joylashgan koʻchmas mulk boʻyicha mulk huquqi menga oʻtganligini davlat roʻyxatidan oʻtkazishni. </w:t>
      </w:r>
    </w:p>
    <w:p>
      <w:pPr>
        <w:jc w:val="both"/>
        <w:ind w:firstLine="540"/>
        <w:spacing w:after="0" w:line="240" w:lineRule="auto"/>
        <w:rPr>
          <w:sz w:val="24"/>
          <w:rFonts w:ascii="Times New Roman" w:hAnsi="Times New Roman"/>
        </w:rPr>
      </w:pPr>
    </w:p>
    <w:p>
      <w:pPr>
        <w:jc w:val="both"/>
        <w:ind w:firstLine="834"/>
        <w:spacing w:after="0" w:line="240" w:lineRule="auto"/>
        <w:rPr>
          <w:b/>
          <w:sz w:val="24"/>
          <w:rFonts w:ascii="Times New Roman" w:hAnsi="Times New Roman"/>
        </w:rPr>
      </w:pPr>
      <w:r>
        <w:rPr>
          <w:b/>
          <w:sz w:val="24"/>
          <w:rFonts w:ascii="Times New Roman" w:hAnsi="Times New Roman"/>
        </w:rPr>
        <w:t xml:space="preserve">Ilova qilinadiga hujjatlar:</w:t>
      </w:r>
    </w:p>
    <w:p>
      <w:pPr>
        <w:jc w:val="both"/>
        <w:ind w:firstLine="540"/>
        <w:spacing w:after="0" w:line="240" w:lineRule="auto"/>
        <w:rPr>
          <w:sz w:val="24"/>
          <w:rFonts w:ascii="Times New Roman" w:hAnsi="Times New Roman"/>
        </w:rPr>
      </w:pPr>
    </w:p>
    <w:p>
      <w:pPr>
        <w:jc w:val="both"/>
        <w:ind w:firstLine="834"/>
        <w:spacing w:after="0" w:line="240" w:lineRule="auto"/>
        <w:rPr>
          <w:sz w:val="24"/>
          <w:rFonts w:ascii="Times New Roman" w:hAnsi="Times New Roman"/>
        </w:rPr>
      </w:pPr>
      <w:r>
        <w:rPr>
          <w:sz w:val="24"/>
          <w:rFonts w:ascii="Times New Roman" w:hAnsi="Times New Roman"/>
        </w:rPr>
        <w:t xml:space="preserve">1. Daʼvo ariza nusxasi;</w:t>
      </w:r>
    </w:p>
    <w:p>
      <w:pPr>
        <w:jc w:val="both"/>
        <w:ind w:firstLine="834"/>
        <w:spacing w:after="0" w:line="240" w:lineRule="auto"/>
        <w:rPr>
          <w:sz w:val="24"/>
          <w:rFonts w:ascii="Times New Roman" w:hAnsi="Times New Roman"/>
        </w:rPr>
      </w:pPr>
      <w:r>
        <w:rPr>
          <w:sz w:val="24"/>
          <w:rFonts w:ascii="Times New Roman" w:hAnsi="Times New Roman"/>
        </w:rPr>
        <w:t xml:space="preserve">2. Davlat boji nusxasi;</w:t>
      </w:r>
    </w:p>
    <w:p>
      <w:pPr>
        <w:jc w:val="both"/>
        <w:ind w:firstLine="834"/>
        <w:spacing w:after="0" w:line="240" w:lineRule="auto"/>
        <w:rPr>
          <w:sz w:val="24"/>
          <w:rFonts w:ascii="Times New Roman" w:hAnsi="Times New Roman"/>
        </w:rPr>
      </w:pPr>
      <w:r>
        <w:rPr>
          <w:sz w:val="24"/>
          <w:rFonts w:ascii="Times New Roman" w:hAnsi="Times New Roman"/>
        </w:rPr>
        <w:t xml:space="preserve">3. Pasport nusxasi;</w:t>
      </w:r>
    </w:p>
    <w:p>
      <w:pPr>
        <w:jc w:val="both"/>
        <w:ind w:firstLine="834"/>
        <w:spacing w:after="0" w:line="240" w:lineRule="auto"/>
        <w:rPr>
          <w:sz w:val="24"/>
          <w:rFonts w:ascii="Times New Roman" w:hAnsi="Times New Roman"/>
        </w:rPr>
      </w:pPr>
      <w:r>
        <w:rPr>
          <w:sz w:val="24"/>
          <w:rFonts w:ascii="Times New Roman" w:hAnsi="Times New Roman"/>
        </w:rPr>
        <w:t xml:space="preserve">4. Uy kadastr hujjatlari;</w:t>
      </w:r>
    </w:p>
    <w:p>
      <w:pPr>
        <w:jc w:val="both"/>
        <w:ind w:firstLine="834"/>
        <w:spacing w:after="0" w:line="240" w:lineRule="auto"/>
        <w:rPr>
          <w:sz w:val="24"/>
          <w:rFonts w:ascii="Times New Roman" w:hAnsi="Times New Roman"/>
        </w:rPr>
      </w:pPr>
      <w:r>
        <w:rPr>
          <w:sz w:val="24"/>
          <w:rFonts w:ascii="Times New Roman" w:hAnsi="Times New Roman"/>
        </w:rPr>
        <w:t xml:space="preserve">5. Yashash joydan maʼlumotnoma;</w:t>
      </w:r>
    </w:p>
    <w:p>
      <w:pPr>
        <w:jc w:val="both"/>
        <w:ind w:firstLine="834"/>
        <w:spacing w:after="0" w:line="240" w:lineRule="auto"/>
        <w:rPr>
          <w:sz w:val="24"/>
          <w:rFonts w:ascii="Times New Roman" w:hAnsi="Times New Roman"/>
        </w:rPr>
      </w:pPr>
      <w:r>
        <w:rPr>
          <w:sz w:val="24"/>
          <w:rFonts w:ascii="Times New Roman" w:hAnsi="Times New Roman"/>
        </w:rPr>
        <w:t xml:space="preserve">6. Daʼvo arizamni tasdiqlovchi boshqa hujjatlar.</w:t>
      </w:r>
    </w:p>
    <w:p>
      <w:pPr>
        <w:jc w:val="both"/>
        <w:ind w:firstLine="540"/>
        <w:spacing w:after="0" w:line="240" w:lineRule="auto"/>
        <w:rPr>
          <w:sz w:val="24"/>
          <w:rFonts w:ascii="Times New Roman" w:hAnsi="Times New Roman"/>
        </w:rPr>
      </w:pPr>
    </w:p>
    <w:p>
      <w:pPr>
        <w:jc w:val="both"/>
        <w:ind w:firstLine="540"/>
        <w:spacing w:after="0" w:line="240" w:lineRule="auto"/>
        <w:rPr>
          <w:sz w:val="24"/>
          <w:rFonts w:ascii="Times New Roman" w:hAnsi="Times New Roman"/>
        </w:rPr>
      </w:pPr>
    </w:p>
    <w:p>
      <w:pPr>
        <w:jc w:val="both"/>
        <w:ind w:firstLine="540"/>
        <w:spacing w:after="0" w:line="240" w:lineRule="auto"/>
        <w:rPr>
          <w:sz w:val="24"/>
          <w:rFonts w:ascii="Times New Roman" w:hAnsi="Times New Roman"/>
        </w:rPr>
      </w:pPr>
    </w:p>
    <w:p>
      <w:pPr>
        <w:jc w:val="both"/>
        <w:ind w:firstLine="540"/>
        <w:spacing w:after="0" w:line="240" w:lineRule="auto"/>
        <w:rPr>
          <w:sz w:val="24"/>
          <w:rFonts w:ascii="Times New Roman" w:hAnsi="Times New Roman"/>
        </w:rPr>
      </w:pPr>
    </w:p>
    <w:p>
      <w:pPr>
        <w:jc w:val="both"/>
        <w:ind w:firstLine="540"/>
        <w:spacing w:after="0" w:line="240" w:lineRule="auto"/>
        <w:rPr>
          <w:sz w:val="24"/>
          <w:rFonts w:ascii="Times New Roman" w:hAnsi="Times New Roman"/>
        </w:rPr>
      </w:pPr>
    </w:p>
    <w:tbl>
      <w:tblPr>
        <w:tblW w:w="0" w:type="auto"/>
      </w:tblPr>
      <w:tblGrid>
        <w:gridCol w:w="4666"/>
        <w:gridCol w:w="4689"/>
      </w:tblGrid>
      <w:tr>
        <w:tc>
          <w:tcPr>
            <w:tcW w:w="4785" w:type="dxa"/>
            <w:shd w:fill="auto"/>
          </w:tcPr>
          <w:p>
            <w:pPr>
              <w:jc w:val="center"/>
              <w:spacing w:after="0" w:line="240"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c>
          <w:tcPr>
            <w:tcW w:w="4786" w:type="dxa"/>
            <w:shd w:fill="auto"/>
          </w:tcPr>
          <w:p>
            <w:pPr>
              <w:jc w:val="center"/>
              <w:spacing w:after="0" w:line="240" w:lineRule="auto"/>
              <w:rPr>
                <w:sz w:val="24"/>
                <w:rFonts w:ascii="Times New Roman" w:hAnsi="Times New Roman"/>
              </w:rPr>
            </w:pPr>
            <w:r>
              <w:rPr>
                <w:sz w:val="24"/>
                <w:rFonts w:ascii="Times New Roman" w:hAnsi="Times New Roman"/>
              </w:rPr>
              <w:t>________________</w:t>
            </w:r>
          </w:p>
          <w:p>
            <w:pPr>
              <w:jc w:val="center"/>
              <w:spacing w:after="0" w:line="240" w:lineRule="auto"/>
              <w:rPr>
                <w:sz w:val="24"/>
                <w:rFonts w:ascii="Times New Roman" w:hAnsi="Times New Roman"/>
              </w:rPr>
            </w:pPr>
            <w:r>
              <w:rPr>
                <w:sz w:val="20"/>
                <w:rFonts w:ascii="Times New Roman" w:hAnsi="Times New Roman"/>
              </w:rPr>
              <w:t>(Imzo)</w:t>
            </w:r>
          </w:p>
        </w:tc>
      </w:tr>
      <w:tr>
        <w:tc>
          <w:tcPr>
            <w:tcW w:w="9571" w:type="dxa"/>
            <w:gridSpan w:val="2"/>
            <w:shd w:fill="auto"/>
          </w:tcPr>
          <w:p>
            <w:pPr>
              <w:jc w:val="center"/>
              <w:spacing w:after="0" w:line="240" w:lineRule="auto"/>
              <w:rPr>
                <w:sz w:val="24"/>
                <w:rFonts w:ascii="Times New Roman" w:hAnsi="Times New Roman"/>
              </w:rPr>
            </w:pPr>
          </w:p>
          <w:p>
            <w:pPr>
              <w:ind w:hanging="15"/>
              <w:spacing w:after="0" w:line="240"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Daʼvo ariza berilgan sana</w:t>
            </w:r>
            <w:r>
              <w:rPr>
                <w:vanish w:val="false"/>
                <w:sz w:val="24"/>
                <w:rFonts w:ascii="Times New Roman" w:hAnsi="Times New Roman"/>
              </w:rPr>
              <w:fldChar w:fldCharType="end"/>
            </w:r>
          </w:p>
        </w:tc>
      </w:tr>
    </w:tbl>
    <w:p>
      <w:pPr>
        <w:pStyle w:val="ConsPlusNonformat"/>
        <w:rPr>
          <w:sz w:val="24"/>
          <w:rFonts w:ascii="Times New Roman" w:hAnsi="Times New Roman"/>
        </w:rPr>
      </w:pPr>
    </w:p>
    <w:p>
      <w:pPr>
        <w:pStyle w:val="ConsPlusNonformat"/>
        <w:rPr>
          <w:sz w:val="24"/>
          <w:rFonts w:ascii="Times New Roman" w:hAnsi="Times New Roman"/>
        </w:rPr>
      </w:pPr>
    </w:p>
    <w:p>
      <w:pPr>
        <w:pStyle w:val="ConsPlusNonformat"/>
        <w:rPr>
          <w:sz w:val="24"/>
          <w:rFonts w:ascii="Times New Roman" w:hAnsi="Times New Roman"/>
        </w:rPr>
      </w:pPr>
    </w:p>
    <w:sectPr>
      <w:pgSz w:w="11906" w:h="16838"/>
      <w:pgMar w:left="1701" w:right="850" w:top="709" w:bottom="28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D53" w:rsidRDefault="00F72D53" w:rsidP="00C36551">
      <w:pPr>
        <w:spacing w:after="0" w:line="240" w:lineRule="auto"/>
      </w:pPr>
      <w:r>
        <w:separator/>
      </w:r>
    </w:p>
  </w:endnote>
  <w:endnote w:type="continuationSeparator" w:id="0">
    <w:p w:rsidR="00F72D53" w:rsidRDefault="00F72D53"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D53" w:rsidRDefault="00F72D53" w:rsidP="00C36551">
      <w:pPr>
        <w:spacing w:after="0" w:line="240" w:lineRule="auto"/>
      </w:pPr>
      <w:r>
        <w:separator/>
      </w:r>
    </w:p>
  </w:footnote>
  <w:footnote w:type="continuationSeparator" w:id="0">
    <w:p w:rsidR="00F72D53" w:rsidRDefault="00F72D53"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F62FF"/>
    <w:multiLevelType w:val="hybridMultilevel"/>
    <w:tmpl w:val="2FD0A00C"/>
    <w:lvl w:ilvl="0" w:tplc="7BF83744">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B449D8"/>
    <w:multiLevelType w:val="hybridMultilevel"/>
    <w:tmpl w:val="F5F2EAA8"/>
    <w:lvl w:ilvl="0" w:tplc="B8A4E11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52C61"/>
    <w:rsid w:val="0007683B"/>
    <w:rsid w:val="000914D5"/>
    <w:rsid w:val="00095552"/>
    <w:rsid w:val="000D4978"/>
    <w:rsid w:val="00181B1D"/>
    <w:rsid w:val="00195CD5"/>
    <w:rsid w:val="001A6F8D"/>
    <w:rsid w:val="001F3620"/>
    <w:rsid w:val="00205470"/>
    <w:rsid w:val="002374D5"/>
    <w:rsid w:val="00256B47"/>
    <w:rsid w:val="0027214B"/>
    <w:rsid w:val="0028367F"/>
    <w:rsid w:val="0028638A"/>
    <w:rsid w:val="002C6EFE"/>
    <w:rsid w:val="002D7553"/>
    <w:rsid w:val="00337997"/>
    <w:rsid w:val="003602D2"/>
    <w:rsid w:val="003A343E"/>
    <w:rsid w:val="003B4D88"/>
    <w:rsid w:val="00437250"/>
    <w:rsid w:val="004C6A80"/>
    <w:rsid w:val="00523242"/>
    <w:rsid w:val="005E1B3C"/>
    <w:rsid w:val="00640331"/>
    <w:rsid w:val="00662510"/>
    <w:rsid w:val="006A73C8"/>
    <w:rsid w:val="006B0638"/>
    <w:rsid w:val="006E1EE4"/>
    <w:rsid w:val="006F0430"/>
    <w:rsid w:val="00700EE2"/>
    <w:rsid w:val="00717AA9"/>
    <w:rsid w:val="007866AD"/>
    <w:rsid w:val="007951AC"/>
    <w:rsid w:val="00802A38"/>
    <w:rsid w:val="00804EA4"/>
    <w:rsid w:val="0081662C"/>
    <w:rsid w:val="00826E96"/>
    <w:rsid w:val="00830A34"/>
    <w:rsid w:val="00860964"/>
    <w:rsid w:val="008C360D"/>
    <w:rsid w:val="008E7D48"/>
    <w:rsid w:val="008F3A14"/>
    <w:rsid w:val="00923424"/>
    <w:rsid w:val="00932BFF"/>
    <w:rsid w:val="009B2A44"/>
    <w:rsid w:val="009B7B4E"/>
    <w:rsid w:val="009D5349"/>
    <w:rsid w:val="009E0D47"/>
    <w:rsid w:val="00A36A3D"/>
    <w:rsid w:val="00A62436"/>
    <w:rsid w:val="00A705AD"/>
    <w:rsid w:val="00A969BC"/>
    <w:rsid w:val="00B64BD0"/>
    <w:rsid w:val="00B81108"/>
    <w:rsid w:val="00B859BA"/>
    <w:rsid w:val="00BA5D66"/>
    <w:rsid w:val="00BE537E"/>
    <w:rsid w:val="00BF6AAE"/>
    <w:rsid w:val="00C27EE8"/>
    <w:rsid w:val="00C36551"/>
    <w:rsid w:val="00C607F2"/>
    <w:rsid w:val="00C73C91"/>
    <w:rsid w:val="00CF2945"/>
    <w:rsid w:val="00D0170B"/>
    <w:rsid w:val="00D0778C"/>
    <w:rsid w:val="00D11383"/>
    <w:rsid w:val="00D62602"/>
    <w:rsid w:val="00D80B1B"/>
    <w:rsid w:val="00D876AD"/>
    <w:rsid w:val="00D92C25"/>
    <w:rsid w:val="00E22A9B"/>
    <w:rsid w:val="00E418BE"/>
    <w:rsid w:val="00E54C07"/>
    <w:rsid w:val="00E8524F"/>
    <w:rsid w:val="00EA4ED9"/>
    <w:rsid w:val="00EC6CE5"/>
    <w:rsid w:val="00ED7C7F"/>
    <w:rsid w:val="00EE4459"/>
    <w:rsid w:val="00EE5515"/>
    <w:rsid w:val="00F338E3"/>
    <w:rsid w:val="00F72D53"/>
    <w:rsid w:val="00F86B02"/>
    <w:rsid w:val="00FA2163"/>
    <w:rsid w:val="00FE3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A2B2C4-2052-4BF9-8D60-5BCF4A025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811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er"/>
    <w:basedOn w:val="a"/>
    <w:link w:val="a4"/>
    <w:rsid w:val="00B81108"/>
    <w:pPr>
      <w:tabs>
        <w:tab w:val="center" w:pos="4677"/>
        <w:tab w:val="right" w:pos="9355"/>
      </w:tabs>
    </w:pPr>
  </w:style>
  <w:style w:type="character" w:customStyle="1" w:styleId="a4">
    <w:name w:val="Нижний колонтитул Знак"/>
    <w:basedOn w:val="a0"/>
    <w:link w:val="a3"/>
    <w:rsid w:val="00B81108"/>
    <w:rPr>
      <w:rFonts w:ascii="Calibri" w:eastAsia="Calibri" w:hAnsi="Calibri" w:cs="Times New Roman"/>
    </w:rPr>
  </w:style>
  <w:style w:type="character" w:styleId="a5">
    <w:name w:val="Hyperlink"/>
    <w:basedOn w:val="a0"/>
    <w:rsid w:val="00B81108"/>
    <w:rPr>
      <w:rFonts w:cs="Times New Roman"/>
      <w:color w:val="0000FF"/>
      <w:u w:val="single"/>
    </w:rPr>
  </w:style>
  <w:style w:type="character" w:customStyle="1" w:styleId="clauseprfx1">
    <w:name w:val="clauseprfx1"/>
    <w:basedOn w:val="a0"/>
    <w:rsid w:val="00256B47"/>
    <w:rPr>
      <w:vanish w:val="0"/>
      <w:webHidden w:val="0"/>
      <w:specVanish w:val="0"/>
    </w:rPr>
  </w:style>
  <w:style w:type="character" w:customStyle="1" w:styleId="clausesuff1">
    <w:name w:val="clausesuff1"/>
    <w:basedOn w:val="a0"/>
    <w:rsid w:val="00256B47"/>
    <w:rPr>
      <w:vanish w:val="0"/>
      <w:webHidden w:val="0"/>
      <w:specVanish w:val="0"/>
    </w:rPr>
  </w:style>
  <w:style w:type="paragraph" w:styleId="a6">
    <w:name w:val="header"/>
    <w:basedOn w:val="a"/>
    <w:link w:val="a7"/>
    <w:uiPriority w:val="99"/>
    <w:semiHidden/>
    <w:unhideWhenUsed/>
    <w:rsid w:val="00C3655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36551"/>
    <w:rPr>
      <w:rFonts w:ascii="Calibri" w:eastAsia="Calibri" w:hAnsi="Calibri" w:cs="Times New Roman"/>
    </w:rPr>
  </w:style>
  <w:style w:type="paragraph" w:styleId="a8">
    <w:name w:val="List Paragraph"/>
    <w:basedOn w:val="a"/>
    <w:uiPriority w:val="34"/>
    <w:qFormat/>
    <w:rsid w:val="0028638A"/>
    <w:pPr>
      <w:ind w:left="720"/>
      <w:contextualSpacing/>
    </w:pPr>
  </w:style>
  <w:style w:type="character" w:customStyle="1" w:styleId="a9">
    <w:name w:val="Основной текст Знак"/>
    <w:basedOn w:val="a0"/>
    <w:link w:val="aa"/>
    <w:locked/>
    <w:rsid w:val="004C6A80"/>
    <w:rPr>
      <w:sz w:val="24"/>
      <w:szCs w:val="24"/>
      <w:lang w:eastAsia="ru-RU"/>
    </w:rPr>
  </w:style>
  <w:style w:type="paragraph" w:styleId="aa">
    <w:name w:val="Body Text"/>
    <w:basedOn w:val="a"/>
    <w:link w:val="a9"/>
    <w:rsid w:val="004C6A80"/>
    <w:pPr>
      <w:spacing w:after="0" w:line="240" w:lineRule="auto"/>
      <w:jc w:val="both"/>
    </w:pPr>
    <w:rPr>
      <w:rFonts w:asciiTheme="minorHAnsi" w:eastAsiaTheme="minorHAnsi" w:hAnsiTheme="minorHAnsi" w:cstheme="minorBidi"/>
      <w:sz w:val="24"/>
      <w:szCs w:val="24"/>
      <w:lang w:eastAsia="ru-RU"/>
    </w:rPr>
  </w:style>
  <w:style w:type="character" w:customStyle="1" w:styleId="1">
    <w:name w:val="Основной текст Знак1"/>
    <w:basedOn w:val="a0"/>
    <w:uiPriority w:val="99"/>
    <w:semiHidden/>
    <w:rsid w:val="004C6A80"/>
    <w:rPr>
      <w:rFonts w:ascii="Calibri" w:eastAsia="Calibri" w:hAnsi="Calibri" w:cs="Times New Roman"/>
    </w:rPr>
  </w:style>
  <w:style w:type="table" w:styleId="ab">
    <w:name w:val="Table Grid"/>
    <w:basedOn w:val="a1"/>
    <w:rsid w:val="00717A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07150">
      <w:bodyDiv w:val="1"/>
      <w:marLeft w:val="0"/>
      <w:marRight w:val="0"/>
      <w:marTop w:val="0"/>
      <w:marBottom w:val="0"/>
      <w:divBdr>
        <w:top w:val="none" w:sz="0" w:space="0" w:color="auto"/>
        <w:left w:val="none" w:sz="0" w:space="0" w:color="auto"/>
        <w:bottom w:val="none" w:sz="0" w:space="0" w:color="auto"/>
        <w:right w:val="none" w:sz="0" w:space="0" w:color="auto"/>
      </w:divBdr>
      <w:divsChild>
        <w:div w:id="419102940">
          <w:marLeft w:val="0"/>
          <w:marRight w:val="0"/>
          <w:marTop w:val="100"/>
          <w:marBottom w:val="100"/>
          <w:divBdr>
            <w:top w:val="none" w:sz="0" w:space="0" w:color="auto"/>
            <w:left w:val="none" w:sz="0" w:space="0" w:color="auto"/>
            <w:bottom w:val="none" w:sz="0" w:space="0" w:color="auto"/>
            <w:right w:val="none" w:sz="0" w:space="0" w:color="auto"/>
          </w:divBdr>
          <w:divsChild>
            <w:div w:id="1754009957">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2661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Speed_XP</dc:creator>
  <cp:keywords/>
  <dc:description/>
  <cp:lastModifiedBy>Shakarboy Goyibnazarov</cp:lastModifiedBy>
  <cp:revision>2</cp:revision>
  <dcterms:created xsi:type="dcterms:W3CDTF">2022-09-12T10:27:00Z</dcterms:created>
  <dcterms:modified xsi:type="dcterms:W3CDTF">2022-09-12T10:27:00Z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sud nomi</w:name>
    <w:comment xml:space="preserv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Izoh: Mazkur bandga viloyat, tuman (shahar), mahalla, ko‘cha nomi va uy raqami yoziladi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w:name>
    <w:comment xml:space="preserve">Izoh: Mazkur bandga viloyat, tuman (shahar), mahalla, ko‘cha nomi va uy raqami yoziladi</w:comment>
    <w:value w:hidden="false">
      <w:unit w:active="false"/>
    </w:value>
  </w:element>
  <w:element w:id="12" w:kind="variable" w:selector="check" w:type="string" w:valueMode="normal" w:required="false" w:groupID="9">
    <w:identifier xml:space="preserve">ID12</w:identifier>
    <w:name xml:space="preserve">Izoh: Mazkur bandga viloyat, tuman (shahar), mahalla, ko‘cha nomi va uy raqami yoziladi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 ariza mazmuni</w:name>
    <w:value w:hidden="true">
      <w:unit w:active="false"/>
    </w:value>
  </w:element>
  <w:element w:id="15" w:kind="variable" w:selector="check" w:type="string" w:valueMode="normal" w:required="false" w:groupID="14">
    <w:identifier xml:space="preserve">ID15</w:identifier>
    <w:name xml:space="preserve">Mulk huquqi belgilanishi so‘ralayotgan ko‘chmas mulk binosi joylashgan manzil</w:name>
    <w:comment xml:space="preserve">Izoh: Mazkur bandga viloyat, tuman (shahar), mahalla, ko‘cha nomi va uy raqami yoziladi</w:comment>
    <w:value w:hidden="false">
      <w:unit w:active="false"/>
    </w:value>
  </w:element>
  <w:element w:id="16" w:kind="variable" w:selector="check" w:type="date" w:valueMode="normal" w:required="false" w:groupID="14">
    <w:identifier xml:space="preserve">ID16</w:identifier>
    <w:name xml:space="preserve">Kuchmas mulk yuzasidan oldi-sotdi shartnomasi rasmiylashtirilgan sana</w:name>
    <w:value w:hidden="false">
      <w:unit w:active="false"/>
    </w:value>
  </w:element>
</w:structure>
</file>